
<file path=[Content_Types].xml><?xml version="1.0" encoding="utf-8"?>
<Types xmlns="http://schemas.openxmlformats.org/package/2006/content-types">
  <Default Extension="xml" ContentType="application/xml"/>
  <Default Extension="png" ContentType="image/png"/>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10.vsdx" ContentType="application/vnd.ms-visio.drawing"/>
  <Override PartName="/word/embeddings/Microsoft_Visio___11.vsdx" ContentType="application/vnd.ms-visio.drawing"/>
  <Override PartName="/word/embeddings/Microsoft_Visio___12.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mbeddings/Microsoft_Visio___9.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rPr>
          <w:b/>
          <w:bCs/>
          <w:sz w:val="28"/>
        </w:rPr>
      </w:pPr>
      <w:r>
        <w:rPr>
          <w:b/>
          <w:bCs/>
          <w:sz w:val="28"/>
        </w:rPr>
        <w:t>3GPP TSG RAN WG1 #112</w:t>
      </w:r>
      <w:r>
        <w:rPr>
          <w:b/>
          <w:bCs/>
          <w:sz w:val="28"/>
        </w:rPr>
        <w:tab/>
      </w:r>
      <w:r>
        <w:rPr>
          <w:b/>
          <w:bCs/>
          <w:sz w:val="28"/>
        </w:rPr>
        <w:tab/>
      </w:r>
      <w:r>
        <w:rPr>
          <w:b/>
          <w:bCs/>
          <w:sz w:val="28"/>
        </w:rPr>
        <w:tab/>
      </w:r>
      <w:r>
        <w:rPr>
          <w:b/>
          <w:bCs/>
          <w:sz w:val="28"/>
        </w:rPr>
        <w:t xml:space="preserve">                             R1-2301000</w:t>
      </w:r>
    </w:p>
    <w:p>
      <w:pPr>
        <w:widowControl w:val="0"/>
        <w:spacing w:after="0"/>
        <w:jc w:val="both"/>
        <w:rPr>
          <w:b/>
          <w:bCs/>
          <w:sz w:val="28"/>
        </w:rPr>
      </w:pPr>
      <w:r>
        <w:rPr>
          <w:b/>
          <w:bCs/>
          <w:sz w:val="28"/>
        </w:rPr>
        <w:t>Athens, Greece, February 27th – March 3rd, 2023</w:t>
      </w:r>
    </w:p>
    <w:p>
      <w:pPr>
        <w:widowControl w:val="0"/>
        <w:spacing w:after="0"/>
        <w:jc w:val="both"/>
        <w:rPr>
          <w:sz w:val="24"/>
          <w:szCs w:val="24"/>
          <w:lang w:eastAsia="zh-CN"/>
        </w:rPr>
      </w:pPr>
    </w:p>
    <w:p>
      <w:pPr>
        <w:pStyle w:val="104"/>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subband non-overlapping full duplex</w:t>
      </w:r>
    </w:p>
    <w:p>
      <w:pPr>
        <w:pStyle w:val="104"/>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9.3.2</w:t>
      </w:r>
    </w:p>
    <w:p>
      <w:pPr>
        <w:pStyle w:val="104"/>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jc w:val="both"/>
        <w:rPr>
          <w:rFonts w:ascii="Times New Roman" w:hAnsi="Times New Roman"/>
        </w:rPr>
      </w:pPr>
      <w:bookmarkStart w:id="4" w:name="_Toc120549591"/>
      <w:r>
        <w:rPr>
          <w:rFonts w:ascii="Times New Roman" w:hAnsi="Times New Roman"/>
        </w:rPr>
        <w:t>Introduction</w:t>
      </w:r>
      <w:bookmarkEnd w:id="4"/>
    </w:p>
    <w:p>
      <w:pPr>
        <w:rPr>
          <w:rFonts w:eastAsiaTheme="minorEastAsia"/>
          <w:lang w:eastAsia="zh-CN"/>
        </w:rPr>
      </w:pPr>
      <w:r>
        <w:rPr>
          <w:rFonts w:eastAsiaTheme="minorEastAsia"/>
          <w:lang w:eastAsia="zh-CN"/>
        </w:rPr>
        <w:t>In last RAN1 meeting, the following agreements and conclusions were made [1]:</w:t>
      </w:r>
    </w:p>
    <w:p>
      <w:pPr>
        <w:jc w:val="both"/>
        <w:rPr>
          <w:rFonts w:eastAsia="Malgun Gothic"/>
          <w:b/>
          <w:highlight w:val="green"/>
          <w:lang w:eastAsia="zh-CN"/>
        </w:rPr>
      </w:pPr>
      <w:r>
        <w:rPr>
          <w:rFonts w:eastAsia="Malgun Gothic"/>
          <w:b/>
          <w:highlight w:val="green"/>
          <w:lang w:eastAsia="zh-CN"/>
        </w:rPr>
        <w:t>Agreement</w:t>
      </w:r>
    </w:p>
    <w:p>
      <w:pPr>
        <w:rPr>
          <w:rFonts w:eastAsia="Malgun Gothic"/>
          <w:lang w:eastAsia="zh-CN"/>
        </w:rPr>
      </w:pPr>
      <w:r>
        <w:rPr>
          <w:rFonts w:eastAsia="Malgun Gothic"/>
          <w:lang w:eastAsia="zh-CN"/>
        </w:rPr>
        <w:t>For a SBFD aware UE</w:t>
      </w:r>
      <w:r>
        <w:t xml:space="preserve"> semi-statically configured with UL subband</w:t>
      </w:r>
      <w:r>
        <w:rPr>
          <w:rFonts w:eastAsia="Malgun Gothic"/>
          <w:lang w:eastAsia="zh-CN"/>
        </w:rPr>
        <w:t xml:space="preserve"> in a </w:t>
      </w:r>
      <w:r>
        <w:rPr>
          <w:rFonts w:hint="eastAsia" w:eastAsia="Malgun Gothic"/>
        </w:rPr>
        <w:t xml:space="preserve">SBFD </w:t>
      </w:r>
      <w:r>
        <w:rPr>
          <w:rFonts w:eastAsia="Malgun Gothic"/>
          <w:lang w:eastAsia="zh-CN"/>
        </w:rPr>
        <w:t xml:space="preserve">symbol configured as DL in </w:t>
      </w:r>
      <w:r>
        <w:rPr>
          <w:i/>
          <w:iCs/>
        </w:rPr>
        <w:t>TDD-UL-DL-ConfigCommon</w:t>
      </w:r>
      <w:r>
        <w:rPr>
          <w:rFonts w:eastAsia="Malgun Gothic"/>
          <w:lang w:eastAsia="zh-CN"/>
        </w:rPr>
        <w:t xml:space="preserve">, </w:t>
      </w:r>
      <w:r>
        <w:t>the following is agreed as baseline in the RAN1 study:</w:t>
      </w:r>
    </w:p>
    <w:p>
      <w:pPr>
        <w:pStyle w:val="134"/>
        <w:numPr>
          <w:ilvl w:val="0"/>
          <w:numId w:val="7"/>
        </w:numPr>
        <w:suppressAutoHyphens/>
        <w:spacing w:before="0"/>
        <w:ind w:leftChars="0"/>
        <w:rPr>
          <w:rFonts w:eastAsia="Malgun Gothic"/>
          <w:szCs w:val="20"/>
        </w:rPr>
      </w:pPr>
      <w:r>
        <w:rPr>
          <w:rFonts w:eastAsia="Malgun Gothic"/>
          <w:szCs w:val="20"/>
        </w:rPr>
        <w:t>UL transmissions within UL subband are allowed in the symbol</w:t>
      </w:r>
    </w:p>
    <w:p>
      <w:pPr>
        <w:pStyle w:val="134"/>
        <w:numPr>
          <w:ilvl w:val="0"/>
          <w:numId w:val="7"/>
        </w:numPr>
        <w:suppressAutoHyphens/>
        <w:spacing w:before="0"/>
        <w:ind w:leftChars="0"/>
        <w:rPr>
          <w:rFonts w:eastAsia="Malgun Gothic"/>
          <w:szCs w:val="20"/>
        </w:rPr>
      </w:pPr>
      <w:r>
        <w:rPr>
          <w:rFonts w:eastAsia="Malgun Gothic"/>
          <w:szCs w:val="20"/>
        </w:rPr>
        <w:t>UL transmissions outside UL subband are not allowed in the symbol</w:t>
      </w:r>
    </w:p>
    <w:p>
      <w:pPr>
        <w:pStyle w:val="134"/>
        <w:numPr>
          <w:ilvl w:val="0"/>
          <w:numId w:val="7"/>
        </w:numPr>
        <w:suppressAutoHyphens/>
        <w:spacing w:before="0"/>
        <w:ind w:leftChars="0"/>
        <w:rPr>
          <w:rFonts w:eastAsia="Malgun Gothic"/>
          <w:szCs w:val="20"/>
        </w:rPr>
      </w:pPr>
      <w:r>
        <w:rPr>
          <w:rFonts w:hint="eastAsia" w:eastAsia="Malgun Gothic"/>
          <w:szCs w:val="20"/>
        </w:rPr>
        <w:t>Frequency locations of DL subband(s) are known to the SBFD aware UE</w:t>
      </w:r>
    </w:p>
    <w:p>
      <w:pPr>
        <w:pStyle w:val="134"/>
        <w:numPr>
          <w:ilvl w:val="1"/>
          <w:numId w:val="7"/>
        </w:numPr>
        <w:suppressAutoHyphens/>
        <w:spacing w:before="0"/>
        <w:ind w:leftChars="0"/>
        <w:rPr>
          <w:rFonts w:eastAsia="Malgun Gothic"/>
          <w:szCs w:val="20"/>
        </w:rPr>
      </w:pPr>
      <w:r>
        <w:rPr>
          <w:rFonts w:hint="eastAsia" w:eastAsia="Malgun Gothic"/>
          <w:szCs w:val="20"/>
        </w:rPr>
        <w:t>The frequency location of DL subband(s) can be explicitly indicated or implicitly derived</w:t>
      </w:r>
    </w:p>
    <w:p>
      <w:pPr>
        <w:pStyle w:val="134"/>
        <w:numPr>
          <w:ilvl w:val="0"/>
          <w:numId w:val="7"/>
        </w:numPr>
        <w:suppressAutoHyphens/>
        <w:spacing w:before="0"/>
        <w:ind w:leftChars="0"/>
        <w:rPr>
          <w:rFonts w:eastAsia="Malgun Gothic"/>
          <w:szCs w:val="20"/>
        </w:rPr>
      </w:pPr>
      <w:r>
        <w:rPr>
          <w:rFonts w:eastAsia="Malgun Gothic"/>
          <w:szCs w:val="20"/>
        </w:rPr>
        <w:t>DL receptions within DL subband(s) are allowed in the symbol</w:t>
      </w:r>
    </w:p>
    <w:p>
      <w:pPr>
        <w:pStyle w:val="134"/>
        <w:numPr>
          <w:ilvl w:val="0"/>
          <w:numId w:val="7"/>
        </w:numPr>
        <w:suppressAutoHyphens/>
        <w:spacing w:before="0"/>
        <w:ind w:leftChars="0"/>
        <w:rPr>
          <w:rFonts w:eastAsia="Malgun Gothic"/>
          <w:szCs w:val="20"/>
        </w:rPr>
      </w:pPr>
      <w:r>
        <w:rPr>
          <w:rFonts w:eastAsia="Malgun Gothic"/>
          <w:szCs w:val="20"/>
        </w:rPr>
        <w:t>Note: UL transmissions are within active UL BWP and DL receptions are within active DL BWP in the symbol</w:t>
      </w:r>
    </w:p>
    <w:p>
      <w:pPr>
        <w:rPr>
          <w:lang w:eastAsia="ko-KR"/>
        </w:rPr>
      </w:pPr>
    </w:p>
    <w:p>
      <w:pPr>
        <w:jc w:val="both"/>
        <w:rPr>
          <w:rFonts w:eastAsia="Malgun Gothic"/>
          <w:b/>
          <w:highlight w:val="green"/>
          <w:lang w:eastAsia="zh-CN"/>
        </w:rPr>
      </w:pPr>
      <w:r>
        <w:rPr>
          <w:rFonts w:eastAsia="Malgun Gothic"/>
          <w:b/>
          <w:highlight w:val="green"/>
          <w:lang w:eastAsia="zh-CN"/>
        </w:rPr>
        <w:t>Agreement</w:t>
      </w:r>
    </w:p>
    <w:p>
      <w:pPr>
        <w:jc w:val="both"/>
        <w:rPr>
          <w:rFonts w:eastAsia="Malgun Gothic"/>
          <w:lang w:eastAsia="zh-CN"/>
        </w:rPr>
      </w:pPr>
      <w:r>
        <w:rPr>
          <w:rFonts w:eastAsia="Malgun Gothic"/>
          <w:lang w:eastAsia="zh-CN"/>
        </w:rPr>
        <w:t xml:space="preserve">For the purpose of RAN1 study, the understanding is that for semi-static configuration of subband frequency locations for SBFD operation, frequency location of UL/DL subband is with reference to </w:t>
      </w:r>
      <w:r>
        <w:rPr>
          <w:rFonts w:hint="eastAsia" w:eastAsia="Malgun Gothic"/>
          <w:lang w:eastAsia="zh-CN"/>
        </w:rPr>
        <w:t>CRB grid</w:t>
      </w:r>
      <w:r>
        <w:rPr>
          <w:rFonts w:eastAsia="Malgun Gothic"/>
          <w:lang w:eastAsia="zh-CN"/>
        </w:rPr>
        <w:t>.</w:t>
      </w:r>
    </w:p>
    <w:p>
      <w:pPr>
        <w:rPr>
          <w:lang w:eastAsia="ko-KR"/>
        </w:rPr>
      </w:pPr>
    </w:p>
    <w:p>
      <w:pPr>
        <w:rPr>
          <w:b/>
          <w:bCs/>
          <w:highlight w:val="green"/>
          <w:lang w:eastAsia="ko-KR"/>
        </w:rPr>
      </w:pPr>
      <w:r>
        <w:rPr>
          <w:b/>
          <w:bCs/>
          <w:highlight w:val="green"/>
          <w:lang w:eastAsia="ko-KR"/>
        </w:rPr>
        <w:t>Agreement</w:t>
      </w:r>
    </w:p>
    <w:p>
      <w:pPr>
        <w:rPr>
          <w:rFonts w:eastAsia="Malgun Gothic"/>
          <w:lang w:eastAsia="zh-CN"/>
        </w:rPr>
      </w:pPr>
      <w:r>
        <w:rPr>
          <w:rFonts w:eastAsia="Malgun Gothic"/>
          <w:lang w:eastAsia="zh-CN"/>
        </w:rPr>
        <w:t>Study impact and potential enhancements for UL transmissions and DL receptions across SBFD symbols and non-SBFD symbols, including at least the following:</w:t>
      </w:r>
    </w:p>
    <w:p>
      <w:pPr>
        <w:pStyle w:val="134"/>
        <w:numPr>
          <w:ilvl w:val="0"/>
          <w:numId w:val="8"/>
        </w:numPr>
        <w:suppressAutoHyphens/>
        <w:spacing w:before="0"/>
        <w:ind w:leftChars="0"/>
        <w:rPr>
          <w:rFonts w:eastAsia="Malgun Gothic"/>
        </w:rPr>
      </w:pPr>
      <w:r>
        <w:rPr>
          <w:rFonts w:eastAsia="Malgun Gothic"/>
        </w:rPr>
        <w:t>PDCCH, scheduled/configured PUCCH/PUSCH/PDSCH, without repetition in SBFD symbols and non-SBFD symbols</w:t>
      </w:r>
    </w:p>
    <w:p>
      <w:pPr>
        <w:pStyle w:val="134"/>
        <w:numPr>
          <w:ilvl w:val="0"/>
          <w:numId w:val="8"/>
        </w:numPr>
        <w:suppressAutoHyphens/>
        <w:spacing w:before="0"/>
        <w:ind w:leftChars="0"/>
        <w:rPr>
          <w:rFonts w:eastAsia="Malgun Gothic"/>
        </w:rPr>
      </w:pPr>
      <w:r>
        <w:rPr>
          <w:rFonts w:eastAsia="Malgun Gothic"/>
        </w:rPr>
        <w:t>Scheduled/configured SRS/CSI-RS in SBFD symbols and non-SBFD symbols</w:t>
      </w:r>
    </w:p>
    <w:p>
      <w:pPr>
        <w:pStyle w:val="134"/>
        <w:numPr>
          <w:ilvl w:val="0"/>
          <w:numId w:val="8"/>
        </w:numPr>
        <w:suppressAutoHyphens/>
        <w:spacing w:before="0"/>
        <w:ind w:leftChars="0"/>
        <w:rPr>
          <w:rFonts w:eastAsia="Malgun Gothic"/>
        </w:rPr>
      </w:pPr>
      <w:r>
        <w:rPr>
          <w:rFonts w:eastAsia="Malgun Gothic"/>
        </w:rPr>
        <w:t>Scheduled/configured TBoMS across SBFD symbols and non-SBFD symbols with or without repetition</w:t>
      </w:r>
    </w:p>
    <w:p>
      <w:pPr>
        <w:pStyle w:val="134"/>
        <w:numPr>
          <w:ilvl w:val="0"/>
          <w:numId w:val="8"/>
        </w:numPr>
        <w:suppressAutoHyphens/>
        <w:spacing w:before="0"/>
        <w:ind w:leftChars="0"/>
        <w:rPr>
          <w:rFonts w:eastAsia="Malgun Gothic"/>
        </w:rPr>
      </w:pPr>
      <w:r>
        <w:rPr>
          <w:rFonts w:eastAsia="Malgun Gothic"/>
        </w:rPr>
        <w:t>Multi-PUSCH/PDSCH scheduled by a single DCI in SBFD symbols and non-SBFD symbols</w:t>
      </w:r>
    </w:p>
    <w:p>
      <w:pPr>
        <w:pStyle w:val="134"/>
        <w:numPr>
          <w:ilvl w:val="0"/>
          <w:numId w:val="8"/>
        </w:numPr>
        <w:suppressAutoHyphens/>
        <w:spacing w:before="0"/>
        <w:ind w:leftChars="0"/>
        <w:rPr>
          <w:rFonts w:eastAsia="Malgun Gothic"/>
        </w:rPr>
      </w:pPr>
      <w:r>
        <w:rPr>
          <w:rFonts w:eastAsia="Malgun Gothic"/>
        </w:rPr>
        <w:t>Scheduled/configured PDSCH/PUSCH/PUCCH with repetitions across SBFD symbols and non-SBFD symbols</w:t>
      </w:r>
    </w:p>
    <w:p>
      <w:pPr>
        <w:rPr>
          <w:rFonts w:eastAsia="Malgun Gothic"/>
          <w:lang w:eastAsia="zh-CN"/>
        </w:rPr>
      </w:pPr>
      <w:r>
        <w:rPr>
          <w:rFonts w:eastAsia="Malgun Gothic"/>
          <w:lang w:eastAsia="zh-CN"/>
        </w:rPr>
        <w:t>Note: Inter-slot/intra-slot/inter-repetition/inter-group frequency hopping with DMRS bundling of PUSCH/PUCCH, if applicable, is considered.</w:t>
      </w:r>
    </w:p>
    <w:p>
      <w:pPr>
        <w:rPr>
          <w:rFonts w:eastAsia="Malgun Gothic"/>
          <w:lang w:eastAsia="zh-CN"/>
        </w:rPr>
      </w:pPr>
      <w:r>
        <w:rPr>
          <w:rFonts w:eastAsia="Malgun Gothic"/>
          <w:lang w:eastAsia="zh-CN"/>
        </w:rPr>
        <w:t>Examples of potential enhancements include:</w:t>
      </w:r>
    </w:p>
    <w:p>
      <w:pPr>
        <w:pStyle w:val="134"/>
        <w:numPr>
          <w:ilvl w:val="0"/>
          <w:numId w:val="9"/>
        </w:numPr>
        <w:suppressAutoHyphens/>
        <w:spacing w:before="0"/>
        <w:ind w:leftChars="0"/>
        <w:rPr>
          <w:rFonts w:ascii="Times New Roman" w:hAnsi="Times New Roman" w:eastAsia="Malgun Gothic"/>
          <w:lang w:eastAsia="zh-CN"/>
        </w:rPr>
      </w:pPr>
      <w:r>
        <w:rPr>
          <w:rFonts w:ascii="Times New Roman" w:hAnsi="Times New Roman" w:eastAsia="Malgun Gothic"/>
          <w:lang w:eastAsia="zh-CN"/>
        </w:rPr>
        <w:t>Resource allocation in frequency domain</w:t>
      </w:r>
      <w:r>
        <w:rPr>
          <w:rFonts w:hint="eastAsia" w:ascii="Times New Roman" w:hAnsi="Times New Roman" w:eastAsia="Malgun Gothic"/>
          <w:lang w:eastAsia="zh-CN"/>
        </w:rPr>
        <w:t xml:space="preserve"> including frequency hopping</w:t>
      </w:r>
    </w:p>
    <w:p>
      <w:pPr>
        <w:pStyle w:val="134"/>
        <w:numPr>
          <w:ilvl w:val="0"/>
          <w:numId w:val="9"/>
        </w:numPr>
        <w:suppressAutoHyphens/>
        <w:spacing w:before="0"/>
        <w:ind w:leftChars="0"/>
        <w:rPr>
          <w:rFonts w:ascii="Times New Roman" w:hAnsi="Times New Roman" w:eastAsia="Malgun Gothic"/>
          <w:lang w:eastAsia="zh-CN"/>
        </w:rPr>
      </w:pPr>
      <w:r>
        <w:rPr>
          <w:rFonts w:ascii="Times New Roman" w:hAnsi="Times New Roman" w:eastAsia="Malgun Gothic"/>
          <w:lang w:eastAsia="zh-CN"/>
        </w:rPr>
        <w:t>Resource allocation in time domain</w:t>
      </w:r>
    </w:p>
    <w:p>
      <w:pPr>
        <w:pStyle w:val="134"/>
        <w:numPr>
          <w:ilvl w:val="0"/>
          <w:numId w:val="9"/>
        </w:numPr>
        <w:suppressAutoHyphens/>
        <w:spacing w:before="0"/>
        <w:ind w:leftChars="0"/>
        <w:rPr>
          <w:rFonts w:ascii="Times New Roman" w:hAnsi="Times New Roman" w:eastAsia="Malgun Gothic"/>
          <w:lang w:eastAsia="zh-CN"/>
        </w:rPr>
      </w:pPr>
      <w:r>
        <w:rPr>
          <w:rFonts w:ascii="Times New Roman" w:hAnsi="Times New Roman" w:eastAsia="Malgun Gothic"/>
          <w:lang w:eastAsia="zh-CN"/>
        </w:rPr>
        <w:t>P</w:t>
      </w:r>
      <w:r>
        <w:rPr>
          <w:rFonts w:hint="eastAsia" w:ascii="Times New Roman" w:hAnsi="Times New Roman" w:eastAsia="Malgun Gothic"/>
          <w:lang w:eastAsia="zh-CN"/>
        </w:rPr>
        <w:t>ower domain</w:t>
      </w:r>
    </w:p>
    <w:p>
      <w:pPr>
        <w:pStyle w:val="134"/>
        <w:numPr>
          <w:ilvl w:val="0"/>
          <w:numId w:val="9"/>
        </w:numPr>
        <w:suppressAutoHyphens/>
        <w:spacing w:before="0"/>
        <w:ind w:leftChars="0"/>
        <w:rPr>
          <w:rFonts w:ascii="Times New Roman" w:hAnsi="Times New Roman" w:eastAsia="Malgun Gothic"/>
          <w:lang w:eastAsia="zh-CN"/>
        </w:rPr>
      </w:pPr>
      <w:r>
        <w:rPr>
          <w:rFonts w:hint="eastAsia" w:ascii="Times New Roman" w:hAnsi="Times New Roman" w:eastAsia="Malgun Gothic"/>
          <w:lang w:eastAsia="zh-CN"/>
        </w:rPr>
        <w:t xml:space="preserve">Spatial domain </w:t>
      </w:r>
    </w:p>
    <w:p>
      <w:pPr>
        <w:tabs>
          <w:tab w:val="left" w:pos="0"/>
        </w:tabs>
        <w:rPr>
          <w:rFonts w:eastAsia="Malgun Gothic"/>
          <w:lang w:eastAsia="zh-CN"/>
        </w:rPr>
      </w:pPr>
      <w:r>
        <w:rPr>
          <w:rFonts w:eastAsia="Malgun Gothic"/>
          <w:lang w:eastAsia="zh-CN"/>
        </w:rPr>
        <w:t xml:space="preserve">FFS: If the </w:t>
      </w:r>
      <w:r>
        <w:rPr>
          <w:rFonts w:eastAsia="Malgun Gothic"/>
        </w:rPr>
        <w:t>PUCCH/PUSCH/PDSCH</w:t>
      </w:r>
      <w:r>
        <w:rPr>
          <w:rFonts w:eastAsia="Malgun Gothic"/>
          <w:lang w:eastAsia="zh-CN"/>
        </w:rPr>
        <w:t>/PDCCH can be mapped to SBFD and non-SBFD in the same slot if configured.</w:t>
      </w:r>
    </w:p>
    <w:p>
      <w:pPr>
        <w:rPr>
          <w:lang w:eastAsia="ko-KR"/>
        </w:rPr>
      </w:pPr>
    </w:p>
    <w:p>
      <w:pPr>
        <w:spacing w:after="120"/>
        <w:rPr>
          <w:rFonts w:eastAsia="Malgun Gothic" w:cs="Times"/>
          <w:b/>
          <w:highlight w:val="green"/>
          <w:lang w:eastAsia="zh-CN"/>
        </w:rPr>
      </w:pPr>
      <w:r>
        <w:rPr>
          <w:rFonts w:eastAsia="Malgun Gothic" w:cs="Times"/>
          <w:b/>
          <w:highlight w:val="green"/>
          <w:lang w:eastAsia="zh-CN"/>
        </w:rPr>
        <w:t>Agreement</w:t>
      </w:r>
    </w:p>
    <w:p>
      <w:pPr>
        <w:rPr>
          <w:rFonts w:eastAsia="Malgun Gothic" w:cs="Times"/>
          <w:lang w:eastAsia="zh-CN"/>
        </w:rPr>
      </w:pPr>
      <w:r>
        <w:rPr>
          <w:rFonts w:eastAsia="Malgun Gothic" w:cs="Times"/>
          <w:lang w:eastAsia="zh-CN"/>
        </w:rPr>
        <w:t>For SBFD operation</w:t>
      </w:r>
      <w:r>
        <w:rPr>
          <w:rFonts w:cs="Times"/>
        </w:rPr>
        <w:t xml:space="preserve"> </w:t>
      </w:r>
      <w:r>
        <w:rPr>
          <w:rFonts w:eastAsia="Malgun Gothic" w:cs="Times"/>
          <w:lang w:eastAsia="zh-CN"/>
        </w:rPr>
        <w:t xml:space="preserve">in a symbol configured as flexible in </w:t>
      </w:r>
      <w:r>
        <w:rPr>
          <w:rFonts w:cs="Times"/>
          <w:i/>
          <w:iCs/>
        </w:rPr>
        <w:t>TDD-UL-DL-ConfigCommon</w:t>
      </w:r>
      <w:r>
        <w:rPr>
          <w:rFonts w:eastAsia="Malgun Gothic" w:cs="Times"/>
          <w:lang w:eastAsia="zh-CN"/>
        </w:rPr>
        <w:t>, study the following options for SBFD aware UEs,</w:t>
      </w:r>
    </w:p>
    <w:p>
      <w:pPr>
        <w:tabs>
          <w:tab w:val="left" w:pos="0"/>
        </w:tabs>
        <w:rPr>
          <w:rFonts w:eastAsia="Malgun Gothic" w:cs="Times"/>
          <w:lang w:eastAsia="zh-CN"/>
        </w:rPr>
      </w:pPr>
      <w:r>
        <w:rPr>
          <w:rFonts w:eastAsia="Malgun Gothic" w:cs="Times"/>
          <w:lang w:eastAsia="zh-CN"/>
        </w:rPr>
        <w:t xml:space="preserve">Option 1: </w:t>
      </w:r>
    </w:p>
    <w:p>
      <w:pPr>
        <w:numPr>
          <w:ilvl w:val="0"/>
          <w:numId w:val="10"/>
        </w:numPr>
        <w:tabs>
          <w:tab w:val="left" w:pos="0"/>
        </w:tabs>
        <w:spacing w:before="0" w:after="0"/>
        <w:rPr>
          <w:rFonts w:eastAsia="Malgun Gothic" w:cs="Times"/>
          <w:lang w:eastAsia="zh-CN"/>
        </w:rPr>
      </w:pPr>
      <w:r>
        <w:rPr>
          <w:rFonts w:eastAsia="Malgun Gothic" w:cs="Times"/>
          <w:lang w:eastAsia="zh-CN"/>
        </w:rPr>
        <w:t>UL transmissions within UL subband are allowed in the symbol</w:t>
      </w:r>
    </w:p>
    <w:p>
      <w:pPr>
        <w:numPr>
          <w:ilvl w:val="0"/>
          <w:numId w:val="10"/>
        </w:numPr>
        <w:tabs>
          <w:tab w:val="left" w:pos="0"/>
        </w:tabs>
        <w:spacing w:before="0" w:after="0"/>
        <w:rPr>
          <w:rFonts w:eastAsia="Malgun Gothic" w:cs="Times"/>
          <w:lang w:eastAsia="zh-CN"/>
        </w:rPr>
      </w:pPr>
      <w:r>
        <w:rPr>
          <w:rFonts w:eastAsia="Malgun Gothic" w:cs="Times"/>
          <w:lang w:eastAsia="zh-CN"/>
        </w:rPr>
        <w:t>UL transmissions outside UL subband are not allowed in the symbol</w:t>
      </w:r>
    </w:p>
    <w:p>
      <w:pPr>
        <w:numPr>
          <w:ilvl w:val="0"/>
          <w:numId w:val="10"/>
        </w:numPr>
        <w:tabs>
          <w:tab w:val="left" w:pos="0"/>
        </w:tabs>
        <w:spacing w:before="0" w:after="0"/>
        <w:rPr>
          <w:rFonts w:eastAsia="Malgun Gothic" w:cs="Times"/>
          <w:lang w:eastAsia="zh-CN"/>
        </w:rPr>
      </w:pPr>
      <w:r>
        <w:rPr>
          <w:rFonts w:eastAsia="Malgun Gothic" w:cs="Times"/>
          <w:lang w:eastAsia="zh-CN"/>
        </w:rPr>
        <w:t>Frequency locations of DL subband(s) are known to the SBFD aware UE</w:t>
      </w:r>
    </w:p>
    <w:p>
      <w:pPr>
        <w:numPr>
          <w:ilvl w:val="0"/>
          <w:numId w:val="10"/>
        </w:numPr>
        <w:tabs>
          <w:tab w:val="left" w:pos="0"/>
        </w:tabs>
        <w:spacing w:before="0" w:after="0"/>
        <w:rPr>
          <w:rFonts w:eastAsia="Malgun Gothic" w:cs="Times"/>
          <w:lang w:eastAsia="zh-CN"/>
        </w:rPr>
      </w:pPr>
      <w:r>
        <w:rPr>
          <w:rFonts w:eastAsia="Malgun Gothic" w:cs="Times"/>
          <w:lang w:eastAsia="zh-CN"/>
        </w:rPr>
        <w:t>DL receptions within DL subband(s) are allowed in the symbol</w:t>
      </w:r>
    </w:p>
    <w:p>
      <w:pPr>
        <w:numPr>
          <w:ilvl w:val="0"/>
          <w:numId w:val="10"/>
        </w:numPr>
        <w:tabs>
          <w:tab w:val="left" w:pos="0"/>
        </w:tabs>
        <w:spacing w:before="0" w:after="0"/>
        <w:rPr>
          <w:rFonts w:eastAsia="Malgun Gothic" w:cs="Times"/>
          <w:lang w:eastAsia="zh-CN"/>
        </w:rPr>
      </w:pPr>
      <w:r>
        <w:rPr>
          <w:rFonts w:eastAsia="Malgun Gothic" w:cs="Times"/>
          <w:lang w:eastAsia="zh-CN"/>
        </w:rPr>
        <w:t>FFS: Whether DL receptions outside DL subband(s) are allowed or not in the symbol</w:t>
      </w:r>
    </w:p>
    <w:p>
      <w:pPr>
        <w:rPr>
          <w:rFonts w:cs="Times"/>
        </w:rPr>
      </w:pPr>
      <w:r>
        <w:rPr>
          <w:rFonts w:cs="Times"/>
        </w:rPr>
        <w:t xml:space="preserve">Option 2: </w:t>
      </w:r>
    </w:p>
    <w:p>
      <w:pPr>
        <w:numPr>
          <w:ilvl w:val="0"/>
          <w:numId w:val="10"/>
        </w:numPr>
        <w:tabs>
          <w:tab w:val="left" w:pos="0"/>
        </w:tabs>
        <w:spacing w:before="0" w:after="0"/>
        <w:rPr>
          <w:rFonts w:eastAsia="Malgun Gothic" w:cs="Times"/>
          <w:lang w:eastAsia="zh-CN"/>
        </w:rPr>
      </w:pPr>
      <w:r>
        <w:rPr>
          <w:rFonts w:eastAsia="Malgun Gothic" w:cs="Times"/>
          <w:lang w:eastAsia="zh-CN"/>
        </w:rPr>
        <w:t>UL transmissions within UL subband are allowed in the symbol</w:t>
      </w:r>
    </w:p>
    <w:p>
      <w:pPr>
        <w:numPr>
          <w:ilvl w:val="0"/>
          <w:numId w:val="10"/>
        </w:numPr>
        <w:tabs>
          <w:tab w:val="left" w:pos="0"/>
        </w:tabs>
        <w:spacing w:before="0" w:after="0"/>
        <w:rPr>
          <w:rFonts w:eastAsia="Malgun Gothic" w:cs="Times"/>
          <w:lang w:eastAsia="zh-CN"/>
        </w:rPr>
      </w:pPr>
      <w:r>
        <w:rPr>
          <w:rFonts w:eastAsia="Malgun Gothic" w:cs="Times"/>
          <w:lang w:eastAsia="zh-CN"/>
        </w:rPr>
        <w:t>The RBs outside the UL subband can be used as either UL, or DL excluding guardband(s) if used, in the symbol from gNB’s perspective, and the transmission direction for all those RBs is the same</w:t>
      </w:r>
    </w:p>
    <w:p>
      <w:pPr>
        <w:numPr>
          <w:ilvl w:val="1"/>
          <w:numId w:val="10"/>
        </w:numPr>
        <w:tabs>
          <w:tab w:val="left" w:pos="0"/>
        </w:tabs>
        <w:spacing w:before="0" w:after="0"/>
        <w:rPr>
          <w:rFonts w:eastAsia="Malgun Gothic" w:cs="Times"/>
          <w:lang w:eastAsia="zh-CN"/>
        </w:rPr>
      </w:pPr>
      <w:r>
        <w:rPr>
          <w:rFonts w:eastAsia="Malgun Gothic" w:cs="Times"/>
          <w:lang w:eastAsia="zh-CN"/>
        </w:rPr>
        <w:t>FFS: SBFD aware UE behaviours</w:t>
      </w:r>
    </w:p>
    <w:p>
      <w:pPr>
        <w:numPr>
          <w:ilvl w:val="1"/>
          <w:numId w:val="10"/>
        </w:numPr>
        <w:tabs>
          <w:tab w:val="left" w:pos="0"/>
        </w:tabs>
        <w:spacing w:before="0" w:after="0"/>
        <w:rPr>
          <w:rFonts w:eastAsia="Malgun Gothic" w:cs="Times"/>
          <w:lang w:eastAsia="zh-CN"/>
        </w:rPr>
      </w:pPr>
      <w:r>
        <w:rPr>
          <w:rFonts w:eastAsia="Malgun Gothic" w:cs="Times"/>
          <w:lang w:eastAsia="zh-CN"/>
        </w:rPr>
        <w:t>FFS: Whether or not signalling of guardband(s) is needed</w:t>
      </w:r>
    </w:p>
    <w:p>
      <w:pPr>
        <w:numPr>
          <w:ilvl w:val="0"/>
          <w:numId w:val="10"/>
        </w:numPr>
        <w:tabs>
          <w:tab w:val="left" w:pos="0"/>
        </w:tabs>
        <w:spacing w:before="0" w:after="0"/>
        <w:rPr>
          <w:rFonts w:eastAsia="Malgun Gothic" w:cs="Times"/>
          <w:lang w:eastAsia="zh-CN"/>
        </w:rPr>
      </w:pPr>
      <w:r>
        <w:rPr>
          <w:rFonts w:eastAsia="Malgun Gothic" w:cs="Times"/>
          <w:lang w:eastAsia="zh-CN"/>
        </w:rPr>
        <w:t>FFS: Whether or not the symbol can be converted to a DL-only symbol</w:t>
      </w:r>
    </w:p>
    <w:p>
      <w:pPr>
        <w:numPr>
          <w:ilvl w:val="0"/>
          <w:numId w:val="10"/>
        </w:numPr>
        <w:tabs>
          <w:tab w:val="left" w:pos="0"/>
        </w:tabs>
        <w:spacing w:before="0" w:after="0"/>
        <w:rPr>
          <w:rFonts w:eastAsia="Malgun Gothic" w:cs="Times"/>
          <w:lang w:eastAsia="zh-CN"/>
        </w:rPr>
      </w:pPr>
      <w:r>
        <w:rPr>
          <w:rFonts w:eastAsia="Malgun Gothic" w:cs="Times"/>
          <w:lang w:eastAsia="zh-CN"/>
        </w:rPr>
        <w:t>Frequency locations of DL subband(s) are known to the SBFD aware UE</w:t>
      </w:r>
    </w:p>
    <w:p>
      <w:pPr>
        <w:numPr>
          <w:ilvl w:val="0"/>
          <w:numId w:val="10"/>
        </w:numPr>
        <w:tabs>
          <w:tab w:val="left" w:pos="0"/>
        </w:tabs>
        <w:spacing w:before="0" w:after="0"/>
        <w:rPr>
          <w:rFonts w:eastAsia="Malgun Gothic" w:cs="Times"/>
          <w:lang w:eastAsia="zh-CN"/>
        </w:rPr>
      </w:pPr>
      <w:r>
        <w:rPr>
          <w:rFonts w:eastAsia="Malgun Gothic" w:cs="Times"/>
          <w:lang w:eastAsia="zh-CN"/>
        </w:rPr>
        <w:t>DL receptions within DL subband(s) are allowed in the symbol</w:t>
      </w:r>
    </w:p>
    <w:p>
      <w:pPr>
        <w:rPr>
          <w:rFonts w:cs="Times"/>
        </w:rPr>
      </w:pPr>
      <w:r>
        <w:rPr>
          <w:rFonts w:cs="Times"/>
        </w:rPr>
        <w:t xml:space="preserve">Note: UL transmissions are within active UL BWP and DL receptions are within active DL BWP in the symbol for both options. </w:t>
      </w:r>
      <w:r>
        <w:rPr>
          <w:rFonts w:eastAsia="Malgun Gothic" w:cs="Times"/>
          <w:lang w:eastAsia="zh-CN"/>
        </w:rPr>
        <w:t>For all RBs outside the UL subband, UE cannot use separate RBs for DL and UL simultaneously</w:t>
      </w:r>
    </w:p>
    <w:p>
      <w:pPr>
        <w:rPr>
          <w:rFonts w:cs="Times"/>
        </w:rPr>
      </w:pPr>
    </w:p>
    <w:p>
      <w:pPr>
        <w:spacing w:after="120"/>
        <w:jc w:val="both"/>
        <w:rPr>
          <w:rFonts w:eastAsia="Malgun Gothic"/>
          <w:b/>
          <w:highlight w:val="green"/>
          <w:lang w:eastAsia="zh-CN"/>
        </w:rPr>
      </w:pPr>
      <w:r>
        <w:rPr>
          <w:rFonts w:eastAsia="Malgun Gothic"/>
          <w:b/>
          <w:highlight w:val="green"/>
          <w:lang w:eastAsia="zh-CN"/>
        </w:rPr>
        <w:t>Agreement</w:t>
      </w:r>
    </w:p>
    <w:p>
      <w:pPr>
        <w:spacing w:after="120"/>
        <w:jc w:val="both"/>
        <w:rPr>
          <w:rFonts w:eastAsia="微软雅黑"/>
          <w:lang w:eastAsia="zh-CN"/>
        </w:rPr>
      </w:pPr>
      <w:r>
        <w:rPr>
          <w:rFonts w:eastAsia="微软雅黑"/>
          <w:lang w:eastAsia="zh-CN"/>
        </w:rPr>
        <w:t xml:space="preserve">Study the impact and benefits of potential enhancements to resource allocation in frequency-domain for SBFD operation, considering </w:t>
      </w:r>
      <w:r>
        <w:rPr>
          <w:rFonts w:hint="eastAsia" w:eastAsia="微软雅黑"/>
          <w:lang w:eastAsia="zh-CN"/>
        </w:rPr>
        <w:t>unaligned boundaries between</w:t>
      </w:r>
      <w:r>
        <w:rPr>
          <w:rFonts w:eastAsia="微软雅黑"/>
          <w:lang w:eastAsia="zh-CN"/>
        </w:rPr>
        <w:t xml:space="preserve"> resource block group(s)/reporting subband(s) </w:t>
      </w:r>
      <w:r>
        <w:rPr>
          <w:rFonts w:hint="eastAsia" w:eastAsia="微软雅黑"/>
          <w:lang w:eastAsia="zh-CN"/>
        </w:rPr>
        <w:t>and SBFD</w:t>
      </w:r>
      <w:r>
        <w:rPr>
          <w:rFonts w:eastAsia="微软雅黑"/>
          <w:lang w:eastAsia="zh-CN"/>
        </w:rPr>
        <w:t xml:space="preserve"> subband</w:t>
      </w:r>
      <w:r>
        <w:rPr>
          <w:rFonts w:hint="eastAsia" w:eastAsia="微软雅黑"/>
          <w:lang w:eastAsia="zh-CN"/>
        </w:rPr>
        <w:t>s</w:t>
      </w:r>
      <w:r>
        <w:rPr>
          <w:rFonts w:eastAsia="微软雅黑"/>
          <w:lang w:eastAsia="zh-CN"/>
        </w:rPr>
        <w:t>, including</w:t>
      </w:r>
      <w:r>
        <w:rPr>
          <w:rFonts w:eastAsia="Malgun Gothic"/>
          <w:lang w:eastAsia="zh-CN"/>
        </w:rPr>
        <w:t xml:space="preserve"> at least the following</w:t>
      </w:r>
      <w:r>
        <w:rPr>
          <w:rFonts w:hint="eastAsia" w:eastAsia="Malgun Gothic"/>
          <w:lang w:eastAsia="zh-CN"/>
        </w:rPr>
        <w:t>:</w:t>
      </w:r>
    </w:p>
    <w:p>
      <w:pPr>
        <w:pStyle w:val="134"/>
        <w:numPr>
          <w:ilvl w:val="0"/>
          <w:numId w:val="11"/>
        </w:numPr>
        <w:suppressAutoHyphens/>
        <w:spacing w:before="0" w:after="50"/>
        <w:ind w:leftChars="0"/>
        <w:rPr>
          <w:rFonts w:eastAsia="Malgun Gothic"/>
        </w:rPr>
      </w:pPr>
      <w:r>
        <w:rPr>
          <w:rFonts w:eastAsia="Malgun Gothic"/>
        </w:rPr>
        <w:t xml:space="preserve">RBG for PDSCH </w:t>
      </w:r>
      <w:r>
        <w:rPr>
          <w:rFonts w:hint="eastAsia" w:eastAsia="Malgun Gothic"/>
        </w:rPr>
        <w:t>RA type 0</w:t>
      </w:r>
    </w:p>
    <w:p>
      <w:pPr>
        <w:pStyle w:val="134"/>
        <w:numPr>
          <w:ilvl w:val="0"/>
          <w:numId w:val="11"/>
        </w:numPr>
        <w:suppressAutoHyphens/>
        <w:spacing w:before="0" w:after="50"/>
        <w:ind w:leftChars="0"/>
        <w:rPr>
          <w:rFonts w:eastAsia="Malgun Gothic"/>
        </w:rPr>
      </w:pPr>
      <w:r>
        <w:rPr>
          <w:rFonts w:eastAsia="Malgun Gothic"/>
        </w:rPr>
        <w:t>CSI reporting configuration</w:t>
      </w:r>
    </w:p>
    <w:p>
      <w:pPr>
        <w:pStyle w:val="134"/>
        <w:numPr>
          <w:ilvl w:val="0"/>
          <w:numId w:val="11"/>
        </w:numPr>
        <w:suppressAutoHyphens/>
        <w:spacing w:before="0" w:after="50"/>
        <w:ind w:leftChars="0"/>
        <w:rPr>
          <w:rFonts w:eastAsia="Malgun Gothic"/>
        </w:rPr>
      </w:pPr>
      <w:r>
        <w:rPr>
          <w:rFonts w:eastAsia="Malgun Gothic"/>
        </w:rPr>
        <w:t>CSI-RS resource configuration</w:t>
      </w:r>
    </w:p>
    <w:p>
      <w:pPr>
        <w:pStyle w:val="134"/>
        <w:numPr>
          <w:ilvl w:val="0"/>
          <w:numId w:val="11"/>
        </w:numPr>
        <w:suppressAutoHyphens/>
        <w:spacing w:before="0" w:after="50"/>
        <w:ind w:leftChars="0"/>
        <w:rPr>
          <w:rFonts w:eastAsia="Malgun Gothic"/>
        </w:rPr>
      </w:pPr>
      <w:r>
        <w:rPr>
          <w:rFonts w:eastAsia="Malgun Gothic"/>
        </w:rPr>
        <w:t>PRG of PDSCH</w:t>
      </w:r>
    </w:p>
    <w:p>
      <w:pPr>
        <w:jc w:val="both"/>
        <w:rPr>
          <w:rFonts w:eastAsiaTheme="minorEastAsia"/>
          <w:bCs/>
          <w:lang w:val="en-US" w:eastAsia="zh-CN"/>
        </w:rPr>
      </w:pPr>
    </w:p>
    <w:p>
      <w:pPr>
        <w:jc w:val="both"/>
        <w:rPr>
          <w:rFonts w:eastAsiaTheme="minorEastAsia"/>
          <w:bCs/>
          <w:lang w:eastAsia="zh-CN"/>
        </w:rPr>
      </w:pPr>
      <w:r>
        <w:rPr>
          <w:rFonts w:eastAsiaTheme="minorEastAsia"/>
          <w:bCs/>
          <w:lang w:eastAsia="zh-CN"/>
        </w:rPr>
        <w:t>In this contribution, the possible solutions, interference handling of subband non-overlapping full duplex will be discussed.</w:t>
      </w:r>
    </w:p>
    <w:p>
      <w:pPr>
        <w:pStyle w:val="2"/>
        <w:jc w:val="both"/>
        <w:rPr>
          <w:rFonts w:ascii="Times New Roman" w:hAnsi="Times New Roman"/>
          <w:lang w:eastAsia="zh-CN"/>
        </w:rPr>
      </w:pPr>
      <w:r>
        <w:rPr>
          <w:rFonts w:ascii="Times New Roman" w:hAnsi="Times New Roman"/>
          <w:lang w:eastAsia="zh-CN"/>
        </w:rPr>
        <w:t>Interference handling</w:t>
      </w:r>
    </w:p>
    <w:p>
      <w:pPr>
        <w:pStyle w:val="3"/>
        <w:rPr>
          <w:rFonts w:ascii="Times New Roman" w:hAnsi="Times New Roman"/>
          <w:lang w:eastAsia="zh-CN"/>
        </w:rPr>
      </w:pPr>
      <w:bookmarkStart w:id="5" w:name="_Hlk127369779"/>
      <w:r>
        <w:rPr>
          <w:rFonts w:ascii="Times New Roman" w:hAnsi="Times New Roman"/>
          <w:lang w:eastAsia="zh-CN"/>
        </w:rPr>
        <w:t>Inter-gNB inter-subband CLI handling</w:t>
      </w:r>
    </w:p>
    <w:bookmarkEnd w:id="5"/>
    <w:p>
      <w:pPr>
        <w:jc w:val="both"/>
        <w:rPr>
          <w:lang w:eastAsia="zh-CN"/>
        </w:rPr>
      </w:pPr>
      <w:r>
        <w:rPr>
          <w:lang w:eastAsia="zh-CN"/>
        </w:rPr>
        <w:t>For co-channel operation, there are two types of inter-gNB CLI in SBFD, including: inter-cell inter-gNB inter-subband CLI and inter-cell inter-gNB intra-subband CLI. The inter-gNB CLI handling schemes common for both SBFD and dynamic/flexible TDD are discussed in our companion contribution [2]. In this section, we focus on solutions for co-channel inter-cell inter-gNB inter-subband CLI handling.</w:t>
      </w:r>
      <w:r>
        <w:rPr>
          <w:rFonts w:hint="eastAsia"/>
          <w:lang w:eastAsia="zh-CN"/>
        </w:rPr>
        <w:t xml:space="preserve"> </w:t>
      </w:r>
      <w:r>
        <w:rPr>
          <w:lang w:eastAsia="zh-CN"/>
        </w:rPr>
        <w:t>Different from dynamic/flexible TDD in which the CLI is from the same subband and victim gNB can directly measures the RSRP of aggressor gNB’s RS, the inter-subband CLI is caused by the leakage from the adjacent DL subband of aggressor gNB in SBFD and how to measure the inter-subband interference should be studied.</w:t>
      </w:r>
    </w:p>
    <w:p>
      <w:pPr>
        <w:pStyle w:val="4"/>
        <w:rPr>
          <w:rFonts w:ascii="Times New Roman" w:hAnsi="Times New Roman"/>
          <w:lang w:eastAsia="zh-CN"/>
        </w:rPr>
      </w:pPr>
      <w:r>
        <w:rPr>
          <w:rFonts w:ascii="Times New Roman" w:hAnsi="Times New Roman"/>
          <w:lang w:eastAsia="zh-CN"/>
        </w:rPr>
        <w:t>Inter-</w:t>
      </w:r>
      <w:r>
        <w:rPr>
          <w:rFonts w:hint="eastAsia" w:ascii="Times New Roman" w:hAnsi="Times New Roman"/>
          <w:lang w:eastAsia="zh-CN"/>
        </w:rPr>
        <w:t>gNB</w:t>
      </w:r>
      <w:r>
        <w:rPr>
          <w:rFonts w:ascii="Times New Roman" w:hAnsi="Times New Roman"/>
          <w:lang w:eastAsia="zh-CN"/>
        </w:rPr>
        <w:t xml:space="preserve"> inter-subband CLI measurement method</w:t>
      </w:r>
    </w:p>
    <w:p>
      <w:pPr>
        <w:jc w:val="both"/>
        <w:rPr>
          <w:lang w:eastAsia="zh-CN"/>
        </w:rPr>
      </w:pPr>
      <w:r>
        <w:rPr>
          <w:rFonts w:hint="eastAsia"/>
          <w:lang w:eastAsia="zh-CN"/>
        </w:rPr>
        <w:t>G</w:t>
      </w:r>
      <w:r>
        <w:rPr>
          <w:lang w:eastAsia="zh-CN"/>
        </w:rPr>
        <w:t>enerally, there are two methods for inter-gNB inter-subband CLI measurement as the following:</w:t>
      </w:r>
    </w:p>
    <w:p>
      <w:pPr>
        <w:pStyle w:val="134"/>
        <w:numPr>
          <w:ilvl w:val="0"/>
          <w:numId w:val="12"/>
        </w:numPr>
        <w:ind w:leftChars="0"/>
        <w:jc w:val="both"/>
        <w:rPr>
          <w:lang w:eastAsia="zh-CN"/>
        </w:rPr>
      </w:pPr>
      <w:r>
        <w:rPr>
          <w:rFonts w:eastAsiaTheme="minorEastAsia"/>
          <w:lang w:eastAsia="zh-CN"/>
        </w:rPr>
        <w:t xml:space="preserve">Method#1: victim gNB measures leakage power from aggressor gNB within UL subband </w:t>
      </w:r>
    </w:p>
    <w:p>
      <w:pPr>
        <w:pStyle w:val="134"/>
        <w:numPr>
          <w:ilvl w:val="0"/>
          <w:numId w:val="12"/>
        </w:numPr>
        <w:ind w:leftChars="0"/>
        <w:jc w:val="both"/>
        <w:rPr>
          <w:lang w:eastAsia="zh-CN"/>
        </w:rPr>
      </w:pPr>
      <w:r>
        <w:rPr>
          <w:rFonts w:eastAsiaTheme="minorEastAsia"/>
          <w:lang w:eastAsia="zh-CN"/>
        </w:rPr>
        <w:t xml:space="preserve">Method#2: victim gNB measures RSRP of aggressor gNB’s RS within DL subband </w:t>
      </w:r>
    </w:p>
    <w:p>
      <w:pPr>
        <w:jc w:val="both"/>
        <w:rPr>
          <w:lang w:eastAsia="zh-CN"/>
        </w:rPr>
      </w:pPr>
      <w:r>
        <w:rPr>
          <w:lang w:eastAsia="zh-CN"/>
        </w:rPr>
        <w:fldChar w:fldCharType="begin"/>
      </w:r>
      <w:r>
        <w:rPr>
          <w:lang w:eastAsia="zh-CN"/>
        </w:rPr>
        <w:instrText xml:space="preserve"> </w:instrText>
      </w:r>
      <w:r>
        <w:rPr>
          <w:rFonts w:hint="eastAsia"/>
          <w:lang w:eastAsia="zh-CN"/>
        </w:rPr>
        <w:instrText xml:space="preserve">REF _Ref127092125 \h</w:instrText>
      </w:r>
      <w:r>
        <w:rPr>
          <w:lang w:eastAsia="zh-CN"/>
        </w:rPr>
        <w:instrText xml:space="preserve"> </w:instrText>
      </w:r>
      <w:r>
        <w:rPr>
          <w:lang w:eastAsia="zh-CN"/>
        </w:rPr>
        <w:fldChar w:fldCharType="separate"/>
      </w:r>
      <w:r>
        <w:rPr>
          <w:b/>
          <w:bCs/>
          <w:lang w:eastAsia="zh-CN"/>
        </w:rPr>
        <w:t>Figure 1</w:t>
      </w:r>
      <w:r>
        <w:rPr>
          <w:lang w:eastAsia="zh-CN"/>
        </w:rPr>
        <w:fldChar w:fldCharType="end"/>
      </w:r>
      <w:r>
        <w:rPr>
          <w:lang w:eastAsia="zh-CN"/>
        </w:rPr>
        <w:t xml:space="preserve"> is an illustration of inter-gNB inter-subband CLI measurement method#1, in which victim gNB measures the interference leakage within its UL subband. The measurement results of this method can directly reflect the intensity of inter-subband CLI. However, the strongest aggressor gNB cannot be identified in this method, since victim gNB can only measure the power of interference leakage. Thus, the inter-gNB coordination is also needed in this method to assist victim gNB to identify aggressor gNB.</w:t>
      </w:r>
    </w:p>
    <w:p>
      <w:pPr>
        <w:jc w:val="center"/>
        <w:rPr>
          <w:lang w:eastAsia="zh-CN"/>
        </w:rPr>
      </w:pPr>
      <w:r>
        <w:rPr>
          <w:lang w:eastAsia="zh-CN"/>
        </w:rPr>
        <w:drawing>
          <wp:inline distT="0" distB="0" distL="0" distR="0">
            <wp:extent cx="3266440" cy="11722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300412" cy="1184885"/>
                    </a:xfrm>
                    <a:prstGeom prst="rect">
                      <a:avLst/>
                    </a:prstGeom>
                    <a:noFill/>
                  </pic:spPr>
                </pic:pic>
              </a:graphicData>
            </a:graphic>
          </wp:inline>
        </w:drawing>
      </w:r>
    </w:p>
    <w:p>
      <w:pPr>
        <w:jc w:val="center"/>
        <w:rPr>
          <w:b/>
          <w:bCs/>
          <w:lang w:eastAsia="zh-CN"/>
        </w:rPr>
      </w:pPr>
      <w:bookmarkStart w:id="6" w:name="_Ref127092125"/>
      <w:r>
        <w:rPr>
          <w:b/>
          <w:bCs/>
          <w:lang w:eastAsia="zh-CN"/>
        </w:rPr>
        <w:t xml:space="preserve">Figure </w:t>
      </w:r>
      <w:r>
        <w:rPr>
          <w:b/>
          <w:bCs/>
          <w:lang w:eastAsia="zh-CN"/>
        </w:rPr>
        <w:fldChar w:fldCharType="begin"/>
      </w:r>
      <w:r>
        <w:rPr>
          <w:b/>
          <w:bCs/>
          <w:lang w:eastAsia="zh-CN"/>
        </w:rPr>
        <w:instrText xml:space="preserve"> SEQ Figure \* ARABIC </w:instrText>
      </w:r>
      <w:r>
        <w:rPr>
          <w:b/>
          <w:bCs/>
          <w:lang w:eastAsia="zh-CN"/>
        </w:rPr>
        <w:fldChar w:fldCharType="separate"/>
      </w:r>
      <w:r>
        <w:rPr>
          <w:b/>
          <w:bCs/>
          <w:lang w:eastAsia="zh-CN"/>
        </w:rPr>
        <w:t>1</w:t>
      </w:r>
      <w:r>
        <w:rPr>
          <w:b/>
          <w:bCs/>
          <w:lang w:eastAsia="zh-CN"/>
        </w:rPr>
        <w:fldChar w:fldCharType="end"/>
      </w:r>
      <w:bookmarkEnd w:id="6"/>
      <w:r>
        <w:rPr>
          <w:b/>
          <w:bCs/>
          <w:lang w:eastAsia="zh-CN"/>
        </w:rPr>
        <w:t>. Inter-gNB inter-subband CLI measurement method#1</w:t>
      </w:r>
    </w:p>
    <w:p>
      <w:pPr>
        <w:jc w:val="both"/>
        <w:rPr>
          <w:lang w:eastAsia="zh-CN"/>
        </w:rPr>
      </w:pPr>
      <w:r>
        <w:rPr>
          <w:lang w:eastAsia="zh-CN"/>
        </w:rPr>
        <w:fldChar w:fldCharType="begin"/>
      </w:r>
      <w:r>
        <w:rPr>
          <w:lang w:eastAsia="zh-CN"/>
        </w:rPr>
        <w:instrText xml:space="preserve"> </w:instrText>
      </w:r>
      <w:r>
        <w:rPr>
          <w:rFonts w:hint="eastAsia"/>
          <w:lang w:eastAsia="zh-CN"/>
        </w:rPr>
        <w:instrText xml:space="preserve">REF _Ref127093103 \h</w:instrText>
      </w:r>
      <w:r>
        <w:rPr>
          <w:lang w:eastAsia="zh-CN"/>
        </w:rPr>
        <w:instrText xml:space="preserve"> </w:instrText>
      </w:r>
      <w:r>
        <w:rPr>
          <w:lang w:eastAsia="zh-CN"/>
        </w:rPr>
        <w:fldChar w:fldCharType="separate"/>
      </w:r>
      <w:r>
        <w:rPr>
          <w:b/>
          <w:bCs/>
          <w:lang w:eastAsia="zh-CN"/>
        </w:rPr>
        <w:t>Figure 2</w:t>
      </w:r>
      <w:r>
        <w:rPr>
          <w:lang w:eastAsia="zh-CN"/>
        </w:rPr>
        <w:fldChar w:fldCharType="end"/>
      </w:r>
      <w:r>
        <w:rPr>
          <w:lang w:eastAsia="zh-CN"/>
        </w:rPr>
        <w:t xml:space="preserve"> is an illustration of inter-gNB inter-subband CLI measurement method#2, in which victim gNB measures the RSRP of aggressor gNB’s RS within its DL subband. In this measurement method, the interference RS can be existing DL RS, e.g., CSI-RS or SSB, and victim gNB can identify the aggressor gNB based on accurate RS measurement </w:t>
      </w:r>
      <w:r>
        <w:rPr>
          <w:rFonts w:hint="eastAsia"/>
          <w:lang w:eastAsia="zh-CN"/>
        </w:rPr>
        <w:t>without</w:t>
      </w:r>
      <w:r>
        <w:rPr>
          <w:lang w:eastAsia="zh-CN"/>
        </w:rPr>
        <w:t xml:space="preserve"> complicated inter-gNB coordination. But the measurement results cannot reflect the inter-subband CLI and </w:t>
      </w:r>
      <w:r>
        <w:rPr>
          <w:rFonts w:hint="eastAsia"/>
          <w:lang w:eastAsia="zh-CN"/>
        </w:rPr>
        <w:t>the</w:t>
      </w:r>
      <w:r>
        <w:rPr>
          <w:lang w:eastAsia="zh-CN"/>
        </w:rPr>
        <w:t xml:space="preserve"> transition between intra-subband CLI and inter-subband CLI </w:t>
      </w:r>
      <w:r>
        <w:rPr>
          <w:rFonts w:hint="eastAsia"/>
          <w:lang w:eastAsia="zh-CN"/>
        </w:rPr>
        <w:t>is</w:t>
      </w:r>
      <w:r>
        <w:rPr>
          <w:lang w:eastAsia="zh-CN"/>
        </w:rPr>
        <w:t xml:space="preserve"> needed based on gNB’s implementation. In addition, victim gNB needs to turn off its Tx chains when measuring the aggressor gNB’s RS within its DL subband to avoid the self-interference and this will cause the interruption of DL transmission.</w:t>
      </w:r>
    </w:p>
    <w:p>
      <w:pPr>
        <w:jc w:val="center"/>
        <w:rPr>
          <w:lang w:eastAsia="zh-CN"/>
        </w:rPr>
      </w:pPr>
      <w:r>
        <w:rPr>
          <w:lang w:eastAsia="zh-CN"/>
        </w:rPr>
        <w:drawing>
          <wp:inline distT="0" distB="0" distL="0" distR="0">
            <wp:extent cx="3188335" cy="1083945"/>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206364" cy="1090125"/>
                    </a:xfrm>
                    <a:prstGeom prst="rect">
                      <a:avLst/>
                    </a:prstGeom>
                    <a:noFill/>
                  </pic:spPr>
                </pic:pic>
              </a:graphicData>
            </a:graphic>
          </wp:inline>
        </w:drawing>
      </w:r>
    </w:p>
    <w:p>
      <w:pPr>
        <w:jc w:val="center"/>
        <w:rPr>
          <w:b/>
          <w:bCs/>
          <w:lang w:eastAsia="zh-CN"/>
        </w:rPr>
      </w:pPr>
      <w:bookmarkStart w:id="7" w:name="_Ref127093103"/>
      <w:r>
        <w:rPr>
          <w:b/>
          <w:bCs/>
          <w:lang w:eastAsia="zh-CN"/>
        </w:rPr>
        <w:t xml:space="preserve">Figure </w:t>
      </w:r>
      <w:r>
        <w:rPr>
          <w:b/>
          <w:bCs/>
          <w:lang w:eastAsia="zh-CN"/>
        </w:rPr>
        <w:fldChar w:fldCharType="begin"/>
      </w:r>
      <w:r>
        <w:rPr>
          <w:b/>
          <w:bCs/>
          <w:lang w:eastAsia="zh-CN"/>
        </w:rPr>
        <w:instrText xml:space="preserve"> SEQ Figure \* ARABIC </w:instrText>
      </w:r>
      <w:r>
        <w:rPr>
          <w:b/>
          <w:bCs/>
          <w:lang w:eastAsia="zh-CN"/>
        </w:rPr>
        <w:fldChar w:fldCharType="separate"/>
      </w:r>
      <w:r>
        <w:rPr>
          <w:b/>
          <w:bCs/>
          <w:lang w:eastAsia="zh-CN"/>
        </w:rPr>
        <w:t>2</w:t>
      </w:r>
      <w:r>
        <w:rPr>
          <w:b/>
          <w:bCs/>
          <w:lang w:eastAsia="zh-CN"/>
        </w:rPr>
        <w:fldChar w:fldCharType="end"/>
      </w:r>
      <w:bookmarkEnd w:id="7"/>
      <w:r>
        <w:rPr>
          <w:b/>
          <w:bCs/>
          <w:lang w:eastAsia="zh-CN"/>
        </w:rPr>
        <w:t>. Inter-gNB inter-subband CLI measurement method#1</w:t>
      </w:r>
    </w:p>
    <w:p>
      <w:pPr>
        <w:jc w:val="both"/>
        <w:rPr>
          <w:rFonts w:eastAsia="MS Mincho"/>
          <w:b/>
          <w:i/>
          <w:u w:val="single"/>
        </w:rPr>
      </w:pPr>
      <w:r>
        <w:rPr>
          <w:rFonts w:hint="eastAsia"/>
          <w:lang w:eastAsia="zh-CN"/>
        </w:rPr>
        <w:t>I</w:t>
      </w:r>
      <w:r>
        <w:rPr>
          <w:lang w:eastAsia="zh-CN"/>
        </w:rPr>
        <w:t>n a summary, both two inter-gNB inter-subband CLI measurement methods have pros and cons and can be considered in further study.</w:t>
      </w:r>
    </w:p>
    <w:p>
      <w:pPr>
        <w:rPr>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w:t>
      </w:r>
      <w:r>
        <w:rPr>
          <w:b/>
          <w:i/>
          <w:u w:val="single"/>
        </w:rPr>
        <w:fldChar w:fldCharType="end"/>
      </w:r>
      <w:r>
        <w:rPr>
          <w:b/>
          <w:i/>
          <w:u w:val="single"/>
        </w:rPr>
        <w:t>:</w:t>
      </w:r>
      <w:r>
        <w:rPr>
          <w:b/>
          <w:i/>
          <w:u w:val="single"/>
          <w:lang w:eastAsia="zh-CN"/>
        </w:rPr>
        <w:t xml:space="preserve"> </w:t>
      </w:r>
      <w:r>
        <w:t xml:space="preserve">For </w:t>
      </w:r>
      <w:r>
        <w:rPr>
          <w:lang w:eastAsia="zh-CN"/>
        </w:rPr>
        <w:t>inter-gNB inter-subband CLI measurement</w:t>
      </w:r>
      <w:r>
        <w:rPr>
          <w:lang w:val="en-US" w:eastAsia="zh-CN"/>
        </w:rPr>
        <w:t>, the following two methods can be further studied:</w:t>
      </w:r>
    </w:p>
    <w:p>
      <w:pPr>
        <w:pStyle w:val="134"/>
        <w:numPr>
          <w:ilvl w:val="0"/>
          <w:numId w:val="12"/>
        </w:numPr>
        <w:ind w:leftChars="0"/>
        <w:jc w:val="both"/>
        <w:rPr>
          <w:lang w:eastAsia="zh-CN"/>
        </w:rPr>
      </w:pPr>
      <w:r>
        <w:rPr>
          <w:rFonts w:eastAsiaTheme="minorEastAsia"/>
          <w:lang w:eastAsia="zh-CN"/>
        </w:rPr>
        <w:t>Method#1: victim gNB measures leakage power from aggressor gNB within UL subband;</w:t>
      </w:r>
    </w:p>
    <w:p>
      <w:pPr>
        <w:pStyle w:val="134"/>
        <w:numPr>
          <w:ilvl w:val="0"/>
          <w:numId w:val="12"/>
        </w:numPr>
        <w:ind w:leftChars="0"/>
        <w:jc w:val="both"/>
        <w:rPr>
          <w:lang w:eastAsia="zh-CN"/>
        </w:rPr>
      </w:pPr>
      <w:r>
        <w:rPr>
          <w:rFonts w:eastAsiaTheme="minorEastAsia"/>
          <w:lang w:eastAsia="zh-CN"/>
        </w:rPr>
        <w:t>Method#2: victim gNB measures RSRP of aggressor gNB’s RS within DL subband.</w:t>
      </w:r>
    </w:p>
    <w:p>
      <w:pPr>
        <w:jc w:val="both"/>
        <w:rPr>
          <w:lang w:eastAsia="zh-CN"/>
        </w:rPr>
      </w:pPr>
      <w:r>
        <w:rPr>
          <w:lang w:eastAsia="zh-CN"/>
        </w:rPr>
        <w:t xml:space="preserve">Furthermore, the </w:t>
      </w:r>
      <w:r>
        <w:rPr>
          <w:rFonts w:eastAsiaTheme="minorEastAsia"/>
          <w:lang w:eastAsia="zh-CN"/>
        </w:rPr>
        <w:t>inter-gNB coordination can be implemented to avoid the inter-gNB inter-subband CLI</w:t>
      </w:r>
      <w:r>
        <w:rPr>
          <w:lang w:eastAsia="zh-CN"/>
        </w:rPr>
        <w:t xml:space="preserve"> after the exchange of measurement results among gNBs</w:t>
      </w:r>
      <w:r>
        <w:rPr>
          <w:rFonts w:eastAsiaTheme="minorEastAsia"/>
          <w:lang w:eastAsia="zh-CN"/>
        </w:rPr>
        <w:t>. The coordination can be in time-domain, frequency-domain, spatial-domain, and power-domain. To support inter-vendor cooperation, the backhaul signalling enhancement is also needed to exchange related coordination information.</w:t>
      </w:r>
    </w:p>
    <w:p>
      <w:pPr>
        <w:jc w:val="both"/>
        <w:rPr>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w:t>
      </w:r>
      <w:r>
        <w:rPr>
          <w:b/>
          <w:i/>
          <w:u w:val="single"/>
        </w:rPr>
        <w:fldChar w:fldCharType="end"/>
      </w:r>
      <w:r>
        <w:rPr>
          <w:b/>
          <w:i/>
          <w:u w:val="single"/>
        </w:rPr>
        <w:t>:</w:t>
      </w:r>
      <w:r>
        <w:rPr>
          <w:b/>
          <w:i/>
          <w:u w:val="single"/>
          <w:lang w:eastAsia="zh-CN"/>
        </w:rPr>
        <w:t xml:space="preserve"> </w:t>
      </w:r>
      <w:r>
        <w:t xml:space="preserve">For </w:t>
      </w:r>
      <w:r>
        <w:rPr>
          <w:lang w:eastAsia="zh-CN"/>
        </w:rPr>
        <w:t>inter-gNB inter-subband CLI handling</w:t>
      </w:r>
      <w:r>
        <w:rPr>
          <w:lang w:val="en-US" w:eastAsia="zh-CN"/>
        </w:rPr>
        <w:t xml:space="preserve">, </w:t>
      </w:r>
      <w:r>
        <w:rPr>
          <w:rFonts w:eastAsiaTheme="minorEastAsia"/>
          <w:lang w:eastAsia="zh-CN"/>
        </w:rPr>
        <w:t>inter-gNB coordination in time-domain, frequency-domain, spatial-domain, and power-domain should be supported.</w:t>
      </w:r>
    </w:p>
    <w:p>
      <w:pPr>
        <w:pStyle w:val="134"/>
        <w:numPr>
          <w:ilvl w:val="0"/>
          <w:numId w:val="12"/>
        </w:numPr>
        <w:ind w:leftChars="0"/>
        <w:jc w:val="both"/>
        <w:rPr>
          <w:lang w:eastAsia="zh-CN"/>
        </w:rPr>
      </w:pPr>
      <w:r>
        <w:rPr>
          <w:rFonts w:ascii="Times New Roman" w:hAnsi="Times New Roman" w:eastAsiaTheme="minorEastAsia"/>
          <w:lang w:eastAsia="zh-CN"/>
        </w:rPr>
        <w:t>Backhaul signalling enhancement is needed to support inter-vendor cooperation.</w:t>
      </w:r>
    </w:p>
    <w:p>
      <w:pPr>
        <w:pStyle w:val="4"/>
        <w:rPr>
          <w:rFonts w:ascii="Times New Roman" w:hAnsi="Times New Roman"/>
          <w:lang w:eastAsia="zh-CN"/>
        </w:rPr>
      </w:pPr>
      <w:r>
        <w:rPr>
          <w:rFonts w:ascii="Times New Roman" w:hAnsi="Times New Roman"/>
          <w:lang w:eastAsia="zh-CN"/>
        </w:rPr>
        <w:t>Aggressor gNB identification</w:t>
      </w:r>
    </w:p>
    <w:p>
      <w:pPr>
        <w:jc w:val="both"/>
        <w:rPr>
          <w:lang w:val="en-US" w:eastAsia="zh-CN"/>
        </w:rPr>
      </w:pPr>
      <w:r>
        <w:rPr>
          <w:rFonts w:hint="eastAsia"/>
          <w:lang w:val="en-US" w:eastAsia="zh-CN"/>
        </w:rPr>
        <w:t xml:space="preserve">Regarding Method#1 in section 2.1.1, </w:t>
      </w:r>
      <w:r>
        <w:rPr>
          <w:lang w:val="en-US" w:eastAsia="zh-CN"/>
        </w:rPr>
        <w:t>since victim gNB can only measure the interference strength but not the RSRP in UL subband, how to identify the strongest aggressor gNB needs further consideration. One solution is to coordinate the transmission of different aggressor gNB</w:t>
      </w:r>
      <w:r>
        <w:rPr>
          <w:rFonts w:hint="eastAsia"/>
          <w:lang w:val="en-US" w:eastAsia="zh-CN"/>
        </w:rPr>
        <w:t>s</w:t>
      </w:r>
      <w:r>
        <w:rPr>
          <w:lang w:val="en-US" w:eastAsia="zh-CN"/>
        </w:rPr>
        <w:t xml:space="preserve"> in </w:t>
      </w:r>
      <w:r>
        <w:rPr>
          <w:rFonts w:hint="eastAsia"/>
          <w:lang w:val="en-US" w:eastAsia="zh-CN"/>
        </w:rPr>
        <w:t>orthogonal</w:t>
      </w:r>
      <w:r>
        <w:rPr>
          <w:lang w:val="en-US" w:eastAsia="zh-CN"/>
        </w:rPr>
        <w:t xml:space="preserve"> resources/occasions. For example, </w:t>
      </w:r>
      <w:r>
        <w:rPr>
          <w:rFonts w:hint="eastAsia"/>
          <w:lang w:val="en-US" w:eastAsia="zh-CN"/>
        </w:rPr>
        <w:t xml:space="preserve">OAM </w:t>
      </w:r>
      <w:r>
        <w:rPr>
          <w:lang w:val="en-US" w:eastAsia="zh-CN"/>
        </w:rPr>
        <w:t>can</w:t>
      </w:r>
      <w:r>
        <w:rPr>
          <w:rFonts w:hint="eastAsia"/>
          <w:lang w:val="en-US" w:eastAsia="zh-CN"/>
        </w:rPr>
        <w:t xml:space="preserve"> coordinate the aggressor gNBs to transmit RS (or arbitrary signal) within DL subband</w:t>
      </w:r>
      <w:r>
        <w:rPr>
          <w:lang w:val="en-US" w:eastAsia="zh-CN"/>
        </w:rPr>
        <w:t xml:space="preserve"> in </w:t>
      </w:r>
      <w:r>
        <w:rPr>
          <w:rFonts w:hint="eastAsia"/>
          <w:lang w:val="en-US" w:eastAsia="zh-CN"/>
        </w:rPr>
        <w:t>orthogonal</w:t>
      </w:r>
      <w:r>
        <w:rPr>
          <w:lang w:val="en-US" w:eastAsia="zh-CN"/>
        </w:rPr>
        <w:t xml:space="preserve"> resources/occasions, that is</w:t>
      </w:r>
      <w:r>
        <w:rPr>
          <w:rFonts w:hint="eastAsia"/>
          <w:lang w:val="en-US" w:eastAsia="zh-CN"/>
        </w:rPr>
        <w:t>,</w:t>
      </w:r>
      <w:r>
        <w:rPr>
          <w:lang w:val="en-US" w:eastAsia="zh-CN"/>
        </w:rPr>
        <w:t xml:space="preserve"> for a given resource/occasion, only one gNB can transmit </w:t>
      </w:r>
      <w:r>
        <w:rPr>
          <w:rFonts w:hint="eastAsia"/>
          <w:lang w:val="en-US" w:eastAsia="zh-CN"/>
        </w:rPr>
        <w:t>RS within DL subband</w:t>
      </w:r>
      <w:r>
        <w:rPr>
          <w:lang w:val="en-US" w:eastAsia="zh-CN"/>
        </w:rPr>
        <w:t xml:space="preserve"> and other gNBs measure the interference within UL subband. After the polling of all gNBs’ transmission, the strongest aggressor gNB can be identified with the highest interference strength measurement result.</w:t>
      </w:r>
    </w:p>
    <w:p>
      <w:pPr>
        <w:jc w:val="both"/>
        <w:rPr>
          <w:lang w:val="en-US" w:eastAsia="zh-CN"/>
        </w:rPr>
      </w:pPr>
      <w:r>
        <w:rPr>
          <w:b/>
          <w:bCs/>
          <w:lang w:eastAsia="zh-CN"/>
        </w:rPr>
        <w:t>Figure</w:t>
      </w:r>
      <w:r>
        <w:rPr>
          <w:rFonts w:hint="eastAsia"/>
          <w:lang w:val="en-US" w:eastAsia="zh-CN"/>
        </w:rPr>
        <w:t xml:space="preserve"> </w:t>
      </w:r>
      <w:r>
        <w:rPr>
          <w:b/>
          <w:bCs/>
          <w:lang w:eastAsia="zh-CN"/>
        </w:rPr>
        <w:t>3(A)</w:t>
      </w:r>
      <w:r>
        <w:rPr>
          <w:rFonts w:hint="eastAsia"/>
          <w:lang w:val="en-US" w:eastAsia="zh-CN"/>
        </w:rPr>
        <w:t xml:space="preserve"> illustrates an example of aggressor gNB identification based on </w:t>
      </w:r>
      <w:r>
        <w:rPr>
          <w:lang w:eastAsia="zh-CN"/>
        </w:rPr>
        <w:t>inter-gNB coordination</w:t>
      </w:r>
      <w:r>
        <w:rPr>
          <w:rFonts w:hint="eastAsia"/>
          <w:lang w:val="en-US" w:eastAsia="zh-CN"/>
        </w:rPr>
        <w:t xml:space="preserve"> in time-domain, where three gNBs are respectively labeled as gNB1, gNB2, and gNB3</w:t>
      </w:r>
      <w:r>
        <w:rPr>
          <w:lang w:val="en-US" w:eastAsia="zh-CN"/>
        </w:rPr>
        <w:t>, the blue parts mean the DL transmission and the red parts mean CLI measurement. O</w:t>
      </w:r>
      <w:r>
        <w:rPr>
          <w:rFonts w:hint="eastAsia"/>
          <w:lang w:val="en-US" w:eastAsia="zh-CN"/>
        </w:rPr>
        <w:t>nly one gNB transmit</w:t>
      </w:r>
      <w:r>
        <w:rPr>
          <w:lang w:val="en-US" w:eastAsia="zh-CN"/>
        </w:rPr>
        <w:t>s</w:t>
      </w:r>
      <w:r>
        <w:rPr>
          <w:rFonts w:hint="eastAsia"/>
          <w:lang w:val="en-US" w:eastAsia="zh-CN"/>
        </w:rPr>
        <w:t xml:space="preserve"> RS(or arbitrary signal) </w:t>
      </w:r>
      <w:r>
        <w:rPr>
          <w:lang w:val="en-US" w:eastAsia="zh-CN"/>
        </w:rPr>
        <w:t>with</w:t>
      </w:r>
      <w:r>
        <w:rPr>
          <w:rFonts w:hint="eastAsia"/>
          <w:lang w:val="en-US" w:eastAsia="zh-CN"/>
        </w:rPr>
        <w:t xml:space="preserve">in the DL subband at </w:t>
      </w:r>
      <w:r>
        <w:rPr>
          <w:lang w:val="en-US" w:eastAsia="zh-CN"/>
        </w:rPr>
        <w:t>a given time</w:t>
      </w:r>
      <w:r>
        <w:rPr>
          <w:rFonts w:hint="eastAsia"/>
          <w:lang w:val="en-US" w:eastAsia="zh-CN"/>
        </w:rPr>
        <w:t xml:space="preserve"> while the other gNBs</w:t>
      </w:r>
      <w:r>
        <w:rPr>
          <w:lang w:val="en-US" w:eastAsia="zh-CN"/>
        </w:rPr>
        <w:t xml:space="preserve"> should be muted on the corresponding resource and</w:t>
      </w:r>
      <w:r>
        <w:rPr>
          <w:rFonts w:hint="eastAsia"/>
          <w:lang w:val="en-US" w:eastAsia="zh-CN"/>
        </w:rPr>
        <w:t xml:space="preserve"> measur</w:t>
      </w:r>
      <w:r>
        <w:rPr>
          <w:lang w:val="en-US" w:eastAsia="zh-CN"/>
        </w:rPr>
        <w:t>e</w:t>
      </w:r>
      <w:r>
        <w:rPr>
          <w:rFonts w:hint="eastAsia"/>
          <w:lang w:val="en-US" w:eastAsia="zh-CN"/>
        </w:rPr>
        <w:t xml:space="preserve"> the inter-gNB inter-subband CLI </w:t>
      </w:r>
      <w:r>
        <w:rPr>
          <w:lang w:val="en-US" w:eastAsia="zh-CN"/>
        </w:rPr>
        <w:t>with</w:t>
      </w:r>
      <w:r>
        <w:rPr>
          <w:rFonts w:hint="eastAsia"/>
          <w:lang w:val="en-US" w:eastAsia="zh-CN"/>
        </w:rPr>
        <w:t xml:space="preserve">in the UL subband </w:t>
      </w:r>
      <w:r>
        <w:rPr>
          <w:lang w:val="en-US" w:eastAsia="zh-CN"/>
        </w:rPr>
        <w:t>simultaneously</w:t>
      </w:r>
      <w:r>
        <w:rPr>
          <w:rFonts w:hint="eastAsia"/>
          <w:lang w:val="en-US" w:eastAsia="zh-CN"/>
        </w:rPr>
        <w:t xml:space="preserve">. Through the above inter-gNB coordination transmission, </w:t>
      </w:r>
      <w:r>
        <w:rPr>
          <w:lang w:val="en-US" w:eastAsia="zh-CN"/>
        </w:rPr>
        <w:t>one gNB can measure interference only from a single gNB once a time and the</w:t>
      </w:r>
      <w:r>
        <w:rPr>
          <w:lang w:eastAsia="zh-CN"/>
        </w:rPr>
        <w:t xml:space="preserve"> strongest aggressor gNB</w:t>
      </w:r>
      <w:r>
        <w:rPr>
          <w:rFonts w:hint="eastAsia"/>
          <w:lang w:val="en-US" w:eastAsia="zh-CN"/>
        </w:rPr>
        <w:t xml:space="preserve"> can be identified</w:t>
      </w:r>
      <w:r>
        <w:rPr>
          <w:lang w:val="en-US" w:eastAsia="zh-CN"/>
        </w:rPr>
        <w:t xml:space="preserve"> by the measurement results</w:t>
      </w:r>
      <w:r>
        <w:rPr>
          <w:rFonts w:hint="eastAsia"/>
          <w:lang w:val="en-US" w:eastAsia="zh-CN"/>
        </w:rPr>
        <w:t>.</w:t>
      </w:r>
    </w:p>
    <w:p>
      <w:pPr>
        <w:jc w:val="both"/>
        <w:rPr>
          <w:lang w:val="en-US" w:eastAsia="zh-CN"/>
        </w:rPr>
      </w:pPr>
      <w:r>
        <w:drawing>
          <wp:inline distT="0" distB="0" distL="114300" distR="114300">
            <wp:extent cx="6109335" cy="1042670"/>
            <wp:effectExtent l="0" t="0" r="1905" b="889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pic:cNvPicPr>
                      <a:picLocks noChangeAspect="1"/>
                    </pic:cNvPicPr>
                  </pic:nvPicPr>
                  <pic:blipFill>
                    <a:blip r:embed="rId8"/>
                    <a:stretch>
                      <a:fillRect/>
                    </a:stretch>
                  </pic:blipFill>
                  <pic:spPr>
                    <a:xfrm>
                      <a:off x="0" y="0"/>
                      <a:ext cx="6109335" cy="1042670"/>
                    </a:xfrm>
                    <a:prstGeom prst="rect">
                      <a:avLst/>
                    </a:prstGeom>
                    <a:noFill/>
                    <a:ln>
                      <a:noFill/>
                    </a:ln>
                  </pic:spPr>
                </pic:pic>
              </a:graphicData>
            </a:graphic>
          </wp:inline>
        </w:drawing>
      </w:r>
    </w:p>
    <w:p>
      <w:pPr>
        <w:pStyle w:val="134"/>
        <w:numPr>
          <w:ilvl w:val="0"/>
          <w:numId w:val="13"/>
        </w:numPr>
        <w:ind w:leftChars="0"/>
        <w:jc w:val="center"/>
        <w:rPr>
          <w:lang w:val="en-US" w:eastAsia="zh-CN"/>
        </w:rPr>
      </w:pPr>
      <w:r>
        <w:rPr>
          <w:b/>
          <w:bCs/>
          <w:lang w:eastAsia="zh-CN"/>
        </w:rPr>
        <w:t>coordination</w:t>
      </w:r>
      <w:r>
        <w:rPr>
          <w:b/>
          <w:bCs/>
          <w:lang w:val="en-US" w:eastAsia="zh-CN"/>
        </w:rPr>
        <w:t xml:space="preserve"> in time-domain</w:t>
      </w:r>
    </w:p>
    <w:p>
      <w:pPr>
        <w:jc w:val="both"/>
        <w:rPr>
          <w:lang w:val="en-US" w:eastAsia="zh-CN"/>
        </w:rPr>
      </w:pPr>
      <w:r>
        <w:drawing>
          <wp:inline distT="0" distB="0" distL="114300" distR="114300">
            <wp:extent cx="6109335" cy="1076325"/>
            <wp:effectExtent l="0" t="0" r="1905" b="5715"/>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pic:cNvPicPr>
                      <a:picLocks noChangeAspect="1"/>
                    </pic:cNvPicPr>
                  </pic:nvPicPr>
                  <pic:blipFill>
                    <a:blip r:embed="rId9"/>
                    <a:stretch>
                      <a:fillRect/>
                    </a:stretch>
                  </pic:blipFill>
                  <pic:spPr>
                    <a:xfrm>
                      <a:off x="0" y="0"/>
                      <a:ext cx="6109335" cy="1076325"/>
                    </a:xfrm>
                    <a:prstGeom prst="rect">
                      <a:avLst/>
                    </a:prstGeom>
                    <a:noFill/>
                    <a:ln>
                      <a:noFill/>
                    </a:ln>
                  </pic:spPr>
                </pic:pic>
              </a:graphicData>
            </a:graphic>
          </wp:inline>
        </w:drawing>
      </w:r>
    </w:p>
    <w:p>
      <w:pPr>
        <w:pStyle w:val="134"/>
        <w:numPr>
          <w:ilvl w:val="0"/>
          <w:numId w:val="13"/>
        </w:numPr>
        <w:ind w:leftChars="0"/>
        <w:jc w:val="center"/>
        <w:rPr>
          <w:lang w:val="en-US" w:eastAsia="zh-CN"/>
        </w:rPr>
      </w:pPr>
      <w:r>
        <w:rPr>
          <w:b/>
          <w:bCs/>
          <w:lang w:eastAsia="zh-CN"/>
        </w:rPr>
        <w:t>coordination</w:t>
      </w:r>
      <w:r>
        <w:rPr>
          <w:b/>
          <w:bCs/>
          <w:lang w:val="en-US" w:eastAsia="zh-CN"/>
        </w:rPr>
        <w:t xml:space="preserve"> in </w:t>
      </w:r>
      <w:r>
        <w:rPr>
          <w:rFonts w:hint="eastAsia"/>
          <w:b/>
          <w:bCs/>
          <w:lang w:val="en-US" w:eastAsia="zh-CN"/>
        </w:rPr>
        <w:t>time-domain and frequency</w:t>
      </w:r>
      <w:r>
        <w:rPr>
          <w:b/>
          <w:bCs/>
          <w:lang w:val="en-US" w:eastAsia="zh-CN"/>
        </w:rPr>
        <w:t>-domain</w:t>
      </w:r>
    </w:p>
    <w:p>
      <w:pPr>
        <w:jc w:val="both"/>
        <w:rPr>
          <w:lang w:val="en-US" w:eastAsia="zh-CN"/>
        </w:rPr>
      </w:pPr>
      <w:r>
        <w:drawing>
          <wp:inline distT="0" distB="0" distL="114300" distR="114300">
            <wp:extent cx="6109335" cy="1310005"/>
            <wp:effectExtent l="0" t="0" r="1905" b="635"/>
            <wp:docPr id="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pic:cNvPicPr>
                      <a:picLocks noChangeAspect="1"/>
                    </pic:cNvPicPr>
                  </pic:nvPicPr>
                  <pic:blipFill>
                    <a:blip r:embed="rId10"/>
                    <a:stretch>
                      <a:fillRect/>
                    </a:stretch>
                  </pic:blipFill>
                  <pic:spPr>
                    <a:xfrm>
                      <a:off x="0" y="0"/>
                      <a:ext cx="6109335" cy="1310005"/>
                    </a:xfrm>
                    <a:prstGeom prst="rect">
                      <a:avLst/>
                    </a:prstGeom>
                    <a:noFill/>
                    <a:ln>
                      <a:noFill/>
                    </a:ln>
                  </pic:spPr>
                </pic:pic>
              </a:graphicData>
            </a:graphic>
          </wp:inline>
        </w:drawing>
      </w:r>
    </w:p>
    <w:p>
      <w:pPr>
        <w:ind w:hanging="840"/>
        <w:jc w:val="center"/>
        <w:rPr>
          <w:lang w:val="en-US" w:eastAsia="zh-CN"/>
        </w:rPr>
      </w:pPr>
      <w:r>
        <w:rPr>
          <w:b/>
          <w:bCs/>
          <w:lang w:eastAsia="zh-CN"/>
        </w:rPr>
        <w:t>(C) coordination</w:t>
      </w:r>
      <w:r>
        <w:rPr>
          <w:b/>
          <w:bCs/>
          <w:lang w:val="en-US" w:eastAsia="zh-CN"/>
        </w:rPr>
        <w:t xml:space="preserve"> in </w:t>
      </w:r>
      <w:r>
        <w:rPr>
          <w:rFonts w:hint="eastAsia"/>
          <w:b/>
          <w:bCs/>
          <w:lang w:val="en-US" w:eastAsia="zh-CN"/>
        </w:rPr>
        <w:t>time-domain and spatial</w:t>
      </w:r>
      <w:r>
        <w:rPr>
          <w:b/>
          <w:bCs/>
          <w:lang w:val="en-US" w:eastAsia="zh-CN"/>
        </w:rPr>
        <w:t>-domain</w:t>
      </w:r>
    </w:p>
    <w:p>
      <w:pPr>
        <w:jc w:val="center"/>
        <w:rPr>
          <w:b/>
          <w:bCs/>
          <w:lang w:val="en-US" w:eastAsia="zh-CN"/>
        </w:rPr>
      </w:pPr>
      <w:r>
        <w:rPr>
          <w:rFonts w:hint="eastAsia"/>
          <w:b/>
          <w:bCs/>
          <w:lang w:val="en-US" w:eastAsia="zh-CN"/>
        </w:rPr>
        <w:t xml:space="preserve">Figure 3. Illustration of aggressor gNB identification based on </w:t>
      </w:r>
      <w:r>
        <w:rPr>
          <w:b/>
          <w:bCs/>
          <w:lang w:eastAsia="zh-CN"/>
        </w:rPr>
        <w:t>inter-gNB coordination</w:t>
      </w:r>
    </w:p>
    <w:p>
      <w:pPr>
        <w:jc w:val="both"/>
        <w:rPr>
          <w:lang w:val="en-US" w:eastAsia="zh-CN"/>
        </w:rPr>
      </w:pPr>
      <w:r>
        <w:rPr>
          <w:lang w:val="en-US" w:eastAsia="zh-CN"/>
        </w:rPr>
        <w:t xml:space="preserve">Furthermore, the coordination of gNB transmission can also be </w:t>
      </w:r>
      <w:r>
        <w:rPr>
          <w:rFonts w:hint="eastAsia"/>
          <w:lang w:val="en-US" w:eastAsia="zh-CN"/>
        </w:rPr>
        <w:t xml:space="preserve">in </w:t>
      </w:r>
      <w:bookmarkStart w:id="30" w:name="_GoBack"/>
      <w:bookmarkEnd w:id="30"/>
      <w:r>
        <w:rPr>
          <w:rFonts w:hint="eastAsia"/>
          <w:lang w:val="en-US" w:eastAsia="zh-CN"/>
        </w:rPr>
        <w:t>frequency-domain</w:t>
      </w:r>
      <w:r>
        <w:rPr>
          <w:lang w:val="en-US" w:eastAsia="zh-CN"/>
        </w:rPr>
        <w:t xml:space="preserve"> and </w:t>
      </w:r>
      <w:r>
        <w:rPr>
          <w:rFonts w:hint="eastAsia"/>
          <w:lang w:val="en-US" w:eastAsia="zh-CN"/>
        </w:rPr>
        <w:t>spatial-domain</w:t>
      </w:r>
      <w:r>
        <w:rPr>
          <w:lang w:val="en-US" w:eastAsia="zh-CN"/>
        </w:rPr>
        <w:t xml:space="preserve"> as the illustration in </w:t>
      </w:r>
      <w:r>
        <w:rPr>
          <w:rFonts w:hint="eastAsia"/>
          <w:b/>
          <w:bCs/>
          <w:lang w:eastAsia="zh-CN"/>
        </w:rPr>
        <w:t>Figure</w:t>
      </w:r>
      <w:r>
        <w:rPr>
          <w:rFonts w:hint="eastAsia"/>
          <w:lang w:val="en-US" w:eastAsia="zh-CN"/>
        </w:rPr>
        <w:t xml:space="preserve"> </w:t>
      </w:r>
      <w:r>
        <w:rPr>
          <w:rFonts w:hint="eastAsia"/>
          <w:b/>
          <w:bCs/>
          <w:lang w:eastAsia="zh-CN"/>
        </w:rPr>
        <w:t>3</w:t>
      </w:r>
      <w:r>
        <w:rPr>
          <w:b/>
          <w:bCs/>
          <w:lang w:eastAsia="zh-CN"/>
        </w:rPr>
        <w:t xml:space="preserve">(B) </w:t>
      </w:r>
      <w:r>
        <w:rPr>
          <w:lang w:val="en-US" w:eastAsia="zh-CN"/>
        </w:rPr>
        <w:t>and</w:t>
      </w:r>
      <w:r>
        <w:rPr>
          <w:b/>
          <w:bCs/>
          <w:lang w:eastAsia="zh-CN"/>
        </w:rPr>
        <w:t xml:space="preserve"> </w:t>
      </w:r>
      <w:r>
        <w:rPr>
          <w:rFonts w:hint="eastAsia"/>
          <w:b/>
          <w:bCs/>
          <w:lang w:eastAsia="zh-CN"/>
        </w:rPr>
        <w:t>Figure</w:t>
      </w:r>
      <w:r>
        <w:rPr>
          <w:rFonts w:hint="eastAsia"/>
          <w:lang w:val="en-US" w:eastAsia="zh-CN"/>
        </w:rPr>
        <w:t xml:space="preserve"> </w:t>
      </w:r>
      <w:r>
        <w:rPr>
          <w:rFonts w:hint="eastAsia"/>
          <w:b/>
          <w:bCs/>
          <w:lang w:eastAsia="zh-CN"/>
        </w:rPr>
        <w:t>3</w:t>
      </w:r>
      <w:r>
        <w:rPr>
          <w:b/>
          <w:bCs/>
          <w:lang w:eastAsia="zh-CN"/>
        </w:rPr>
        <w:t xml:space="preserve">(C), </w:t>
      </w:r>
      <w:r>
        <w:rPr>
          <w:lang w:val="en-US" w:eastAsia="zh-CN"/>
        </w:rPr>
        <w:t xml:space="preserve">e.g., one aggressor gNB can transmit </w:t>
      </w:r>
      <w:r>
        <w:rPr>
          <w:rFonts w:hint="eastAsia"/>
          <w:lang w:val="en-US" w:eastAsia="zh-CN"/>
        </w:rPr>
        <w:t>RS</w:t>
      </w:r>
      <w:r>
        <w:rPr>
          <w:lang w:val="en-US" w:eastAsia="zh-CN"/>
        </w:rPr>
        <w:t xml:space="preserve"> on different RBs or beams </w:t>
      </w:r>
      <w:r>
        <w:rPr>
          <w:rFonts w:hint="eastAsia"/>
          <w:lang w:val="en-US" w:eastAsia="zh-CN"/>
        </w:rPr>
        <w:t>at</w:t>
      </w:r>
      <w:r>
        <w:rPr>
          <w:lang w:val="en-US" w:eastAsia="zh-CN"/>
        </w:rPr>
        <w:t xml:space="preserve"> different time</w:t>
      </w:r>
      <w:r>
        <w:rPr>
          <w:rFonts w:hint="eastAsia"/>
          <w:lang w:val="en-US" w:eastAsia="zh-CN"/>
        </w:rPr>
        <w:t>s.</w:t>
      </w:r>
      <w:r>
        <w:rPr>
          <w:lang w:val="en-US" w:eastAsia="zh-CN"/>
        </w:rPr>
        <w:t xml:space="preserve"> In this way, the interference from one aggressor gNB on different frequency resources or beams can be measured and further </w:t>
      </w:r>
      <w:r>
        <w:rPr>
          <w:rFonts w:eastAsiaTheme="minorEastAsia"/>
          <w:lang w:eastAsia="zh-CN"/>
        </w:rPr>
        <w:t xml:space="preserve">inter-gNB scheduling coordination in time-domain, frequency-domain, </w:t>
      </w:r>
      <w:r>
        <w:rPr>
          <w:rFonts w:hint="eastAsia" w:eastAsiaTheme="minorEastAsia"/>
          <w:lang w:val="en-US" w:eastAsia="zh-CN"/>
        </w:rPr>
        <w:t xml:space="preserve">and </w:t>
      </w:r>
      <w:r>
        <w:rPr>
          <w:rFonts w:eastAsiaTheme="minorEastAsia"/>
          <w:lang w:eastAsia="zh-CN"/>
        </w:rPr>
        <w:t>spatial-domain can be enabled.</w:t>
      </w:r>
    </w:p>
    <w:p>
      <w:pPr>
        <w:jc w:val="both"/>
        <w:rPr>
          <w:lang w:val="en-US" w:eastAsia="zh-CN"/>
        </w:rPr>
      </w:pPr>
      <w:r>
        <w:rPr>
          <w:b/>
          <w:i/>
          <w:u w:val="single"/>
        </w:rPr>
        <w:t>Proposal 3:</w:t>
      </w:r>
      <w:r>
        <w:rPr>
          <w:b/>
          <w:i/>
          <w:u w:val="single"/>
          <w:lang w:eastAsia="zh-CN"/>
        </w:rPr>
        <w:t xml:space="preserve"> </w:t>
      </w:r>
      <w:r>
        <w:rPr>
          <w:lang w:eastAsia="zh-CN"/>
        </w:rPr>
        <w:t xml:space="preserve">Inter-gNB transmission coordination in </w:t>
      </w:r>
      <w:r>
        <w:rPr>
          <w:rFonts w:hint="eastAsia"/>
          <w:lang w:val="en-US" w:eastAsia="zh-CN"/>
        </w:rPr>
        <w:t>orthogonal</w:t>
      </w:r>
      <w:r>
        <w:rPr>
          <w:lang w:val="en-US" w:eastAsia="zh-CN"/>
        </w:rPr>
        <w:t xml:space="preserve"> </w:t>
      </w:r>
      <w:r>
        <w:rPr>
          <w:rFonts w:eastAsiaTheme="minorEastAsia"/>
          <w:lang w:eastAsia="zh-CN"/>
        </w:rPr>
        <w:t>time-domain, frequency-domain or spatial-domain</w:t>
      </w:r>
      <w:r>
        <w:rPr>
          <w:lang w:val="en-US" w:eastAsia="zh-CN"/>
        </w:rPr>
        <w:t xml:space="preserve"> resources can be supported to identify the strongest aggressor gNB in inter-gNB inter-subband CLI measurement Method#1.</w:t>
      </w:r>
    </w:p>
    <w:p>
      <w:pPr>
        <w:pStyle w:val="3"/>
        <w:rPr>
          <w:rFonts w:ascii="Times New Roman" w:hAnsi="Times New Roman"/>
          <w:lang w:eastAsia="zh-CN"/>
        </w:rPr>
      </w:pPr>
      <w:r>
        <w:rPr>
          <w:rFonts w:ascii="Times New Roman" w:hAnsi="Times New Roman"/>
          <w:lang w:eastAsia="zh-CN"/>
        </w:rPr>
        <w:t>Inter-UE inter-subband CLI handling</w:t>
      </w:r>
    </w:p>
    <w:p>
      <w:pPr>
        <w:jc w:val="both"/>
        <w:rPr>
          <w:lang w:eastAsia="zh-CN"/>
        </w:rPr>
      </w:pPr>
      <w:r>
        <w:rPr>
          <w:lang w:eastAsia="zh-CN"/>
        </w:rPr>
        <w:t>Similar to section 2.1, we focus on solutions for intra-cell/inter-cell inter-UE inter-subband CLI handling in this section.</w:t>
      </w:r>
    </w:p>
    <w:p>
      <w:pPr>
        <w:pStyle w:val="4"/>
        <w:rPr>
          <w:rFonts w:ascii="Times New Roman" w:hAnsi="Times New Roman"/>
          <w:lang w:eastAsia="zh-CN"/>
        </w:rPr>
      </w:pPr>
      <w:r>
        <w:rPr>
          <w:rFonts w:ascii="Times New Roman" w:hAnsi="Times New Roman"/>
          <w:lang w:eastAsia="zh-CN"/>
        </w:rPr>
        <w:t>Inter-UE inter-subband CLI measurement method</w:t>
      </w:r>
    </w:p>
    <w:p>
      <w:pPr>
        <w:jc w:val="both"/>
        <w:rPr>
          <w:lang w:eastAsia="zh-CN"/>
        </w:rPr>
      </w:pPr>
      <w:r>
        <w:rPr>
          <w:lang w:eastAsia="zh-CN"/>
        </w:rPr>
        <w:t>In Rel-16 CLI, victim UE can measure the CLI-SRS RSRP or RSSI within its DL active BWP. But in SBFD, aggressor UE usually transmits SRS in UL subband in SBFD symbols while victim UE usually receives in DL subband in SBFD symbols. We propose two inter-gNB inter-subband CLI measurement methods in section 2.1.1 and similar measurement methods can also be applied in inter-UE inter-subband CLI measurement as the following:</w:t>
      </w:r>
    </w:p>
    <w:p>
      <w:pPr>
        <w:pStyle w:val="134"/>
        <w:numPr>
          <w:ilvl w:val="0"/>
          <w:numId w:val="12"/>
        </w:numPr>
        <w:ind w:leftChars="0"/>
        <w:jc w:val="both"/>
        <w:rPr>
          <w:lang w:eastAsia="zh-CN"/>
        </w:rPr>
      </w:pPr>
      <w:r>
        <w:rPr>
          <w:rFonts w:eastAsiaTheme="minorEastAsia"/>
          <w:lang w:eastAsia="zh-CN"/>
        </w:rPr>
        <w:t>Method#1: victim UE measures RSSI/SINR within DL subband;</w:t>
      </w:r>
    </w:p>
    <w:p>
      <w:pPr>
        <w:pStyle w:val="134"/>
        <w:numPr>
          <w:ilvl w:val="0"/>
          <w:numId w:val="12"/>
        </w:numPr>
        <w:ind w:leftChars="0"/>
        <w:jc w:val="both"/>
        <w:rPr>
          <w:lang w:eastAsia="zh-CN"/>
        </w:rPr>
      </w:pPr>
      <w:r>
        <w:rPr>
          <w:rFonts w:eastAsiaTheme="minorEastAsia"/>
          <w:lang w:eastAsia="zh-CN"/>
        </w:rPr>
        <w:t>Method#2: victim UE measures RSRP of aggressor UE’s CLI-SRS within UL subband.</w:t>
      </w:r>
    </w:p>
    <w:p>
      <w:pPr>
        <w:rPr>
          <w:lang w:val="en-US" w:eastAsia="zh-CN"/>
        </w:rPr>
      </w:pPr>
      <w:r>
        <w:rPr>
          <w:b/>
          <w:i/>
          <w:u w:val="single"/>
        </w:rPr>
        <w:t>Proposal 4:</w:t>
      </w:r>
      <w:r>
        <w:rPr>
          <w:b/>
          <w:i/>
          <w:u w:val="single"/>
          <w:lang w:eastAsia="zh-CN"/>
        </w:rPr>
        <w:t xml:space="preserve"> </w:t>
      </w:r>
      <w:r>
        <w:t xml:space="preserve">For </w:t>
      </w:r>
      <w:r>
        <w:rPr>
          <w:lang w:eastAsia="zh-CN"/>
        </w:rPr>
        <w:t>inter-UE inter-subband CLI measurement</w:t>
      </w:r>
      <w:r>
        <w:rPr>
          <w:lang w:val="en-US" w:eastAsia="zh-CN"/>
        </w:rPr>
        <w:t>, the following two methods can be further studied:</w:t>
      </w:r>
    </w:p>
    <w:p>
      <w:pPr>
        <w:pStyle w:val="134"/>
        <w:numPr>
          <w:ilvl w:val="0"/>
          <w:numId w:val="12"/>
        </w:numPr>
        <w:ind w:leftChars="0"/>
        <w:jc w:val="both"/>
        <w:rPr>
          <w:lang w:eastAsia="zh-CN"/>
        </w:rPr>
      </w:pPr>
      <w:r>
        <w:rPr>
          <w:rFonts w:eastAsiaTheme="minorEastAsia"/>
          <w:lang w:eastAsia="zh-CN"/>
        </w:rPr>
        <w:t>Method#1: victim UE measures RSSI/SINR within DL subband;</w:t>
      </w:r>
    </w:p>
    <w:p>
      <w:pPr>
        <w:pStyle w:val="134"/>
        <w:numPr>
          <w:ilvl w:val="0"/>
          <w:numId w:val="12"/>
        </w:numPr>
        <w:ind w:leftChars="0"/>
        <w:jc w:val="both"/>
        <w:rPr>
          <w:lang w:eastAsia="zh-CN"/>
        </w:rPr>
      </w:pPr>
      <w:r>
        <w:rPr>
          <w:rFonts w:eastAsiaTheme="minorEastAsia"/>
          <w:lang w:eastAsia="zh-CN"/>
        </w:rPr>
        <w:t>Method#2: victim UE measures RSRP of aggressor UE’s CLI-SRS within UL subband.</w:t>
      </w:r>
    </w:p>
    <w:p>
      <w:pPr>
        <w:pStyle w:val="4"/>
        <w:rPr>
          <w:rFonts w:ascii="Times New Roman" w:hAnsi="Times New Roman"/>
          <w:lang w:eastAsia="zh-CN"/>
        </w:rPr>
      </w:pPr>
      <w:r>
        <w:rPr>
          <w:rFonts w:ascii="Times New Roman" w:hAnsi="Times New Roman"/>
          <w:lang w:eastAsia="zh-CN"/>
        </w:rPr>
        <w:t>Inter-UE inter-subband CLI measurement Method#1</w:t>
      </w:r>
    </w:p>
    <w:p>
      <w:pPr>
        <w:jc w:val="both"/>
        <w:rPr>
          <w:lang w:eastAsia="zh-CN"/>
        </w:rPr>
      </w:pPr>
      <w:r>
        <w:rPr>
          <w:lang w:eastAsia="zh-CN"/>
        </w:rPr>
        <w:fldChar w:fldCharType="begin"/>
      </w:r>
      <w:r>
        <w:rPr>
          <w:lang w:eastAsia="zh-CN"/>
        </w:rPr>
        <w:instrText xml:space="preserve"> </w:instrText>
      </w:r>
      <w:r>
        <w:rPr>
          <w:rFonts w:hint="eastAsia"/>
          <w:lang w:eastAsia="zh-CN"/>
        </w:rPr>
        <w:instrText xml:space="preserve">REF _Ref127093126 \h</w:instrText>
      </w:r>
      <w:r>
        <w:rPr>
          <w:lang w:eastAsia="zh-CN"/>
        </w:rPr>
        <w:instrText xml:space="preserve"> </w:instrText>
      </w:r>
      <w:r>
        <w:rPr>
          <w:lang w:eastAsia="zh-CN"/>
        </w:rPr>
        <w:fldChar w:fldCharType="separate"/>
      </w:r>
      <w:r>
        <w:rPr>
          <w:b/>
          <w:bCs/>
          <w:lang w:eastAsia="zh-CN"/>
        </w:rPr>
        <w:t>Figure 4</w:t>
      </w:r>
      <w:r>
        <w:rPr>
          <w:lang w:eastAsia="zh-CN"/>
        </w:rPr>
        <w:fldChar w:fldCharType="end"/>
      </w:r>
      <w:r>
        <w:rPr>
          <w:lang w:eastAsia="zh-CN"/>
        </w:rPr>
        <w:t xml:space="preserve"> is an illustration of method#1, victim UE measures SINR or RSSI directly within its DL subband, which can reflect the experienced inter-UE inter-subband CLI. But similar to the issue in inter-gNB CLI measurement method#1, inter-gNB coordination may be needed for network in this method to identify which aggressor UE the inter-subband CLI comes from. If this CLI measurement method is used, event-triggered CLI report can be applied to help network identify the aggressor UEs.</w:t>
      </w:r>
    </w:p>
    <w:p>
      <w:pPr>
        <w:jc w:val="center"/>
        <w:rPr>
          <w:lang w:eastAsia="zh-CN"/>
        </w:rPr>
      </w:pPr>
      <w:r>
        <w:rPr>
          <w:lang w:eastAsia="zh-CN"/>
        </w:rPr>
        <w:drawing>
          <wp:inline distT="0" distB="0" distL="0" distR="0">
            <wp:extent cx="3246120" cy="11112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286857" cy="1125666"/>
                    </a:xfrm>
                    <a:prstGeom prst="rect">
                      <a:avLst/>
                    </a:prstGeom>
                    <a:noFill/>
                  </pic:spPr>
                </pic:pic>
              </a:graphicData>
            </a:graphic>
          </wp:inline>
        </w:drawing>
      </w:r>
    </w:p>
    <w:p>
      <w:pPr>
        <w:jc w:val="center"/>
        <w:rPr>
          <w:b/>
          <w:bCs/>
          <w:lang w:eastAsia="zh-CN"/>
        </w:rPr>
      </w:pPr>
      <w:bookmarkStart w:id="8" w:name="_Ref127093126"/>
      <w:r>
        <w:rPr>
          <w:b/>
          <w:bCs/>
          <w:lang w:eastAsia="zh-CN"/>
        </w:rPr>
        <w:t>Figure 4</w:t>
      </w:r>
      <w:bookmarkEnd w:id="8"/>
      <w:r>
        <w:rPr>
          <w:b/>
          <w:bCs/>
          <w:lang w:eastAsia="zh-CN"/>
        </w:rPr>
        <w:t>. Inter-UE inter-subband CLI measurement method#1</w:t>
      </w:r>
    </w:p>
    <w:p>
      <w:pPr>
        <w:jc w:val="both"/>
        <w:rPr>
          <w:lang w:eastAsia="zh-CN"/>
        </w:rPr>
      </w:pPr>
      <w:r>
        <w:rPr>
          <w:rFonts w:hint="eastAsia"/>
          <w:lang w:val="en-US" w:eastAsia="zh-CN"/>
        </w:rPr>
        <w:t>I</w:t>
      </w:r>
      <w:r>
        <w:rPr>
          <w:lang w:val="en-US" w:eastAsia="zh-CN"/>
        </w:rPr>
        <w:t>n Rel-16 inter-UE CLI measurement, only wideband CLI measurement is reported. Considering the non-contiguous frequency of DL subband, e.g., {DUD} SBFD subband configuration, for inter-UE inter-subband CLI measurement method#1, victim UE measures the leakage from the aggressor UE’s UL transmission. Considering the inter-subband CLI is not frequency flat, if UE can only report one measurement result across the whole DL subband, it will not reflect the detailed CLI on different RBs, thus subband based CLI measurement and report can be considered for SBFD and both uniform and non-uniform CLI subband configuration can be further considered.</w:t>
      </w:r>
    </w:p>
    <w:p>
      <w:pPr>
        <w:jc w:val="both"/>
        <w:rPr>
          <w:rFonts w:eastAsia="MS Mincho"/>
          <w:b/>
          <w:i/>
          <w:u w:val="single"/>
        </w:rPr>
      </w:pPr>
      <w:r>
        <w:rPr>
          <w:b/>
          <w:i/>
          <w:u w:val="single"/>
        </w:rPr>
        <w:t>Proposal 5:</w:t>
      </w:r>
      <w:r>
        <w:rPr>
          <w:lang w:eastAsia="zh-CN"/>
        </w:rPr>
        <w:t xml:space="preserve"> Both uniform and non-uniform CLI subband configuration can be supported to enable </w:t>
      </w:r>
      <w:r>
        <w:rPr>
          <w:rFonts w:eastAsiaTheme="minorEastAsia"/>
          <w:lang w:eastAsia="zh-CN"/>
        </w:rPr>
        <w:t>victim UE to measure RSSI/SINR within DL subband</w:t>
      </w:r>
      <w:r>
        <w:rPr>
          <w:lang w:eastAsia="zh-CN"/>
        </w:rPr>
        <w:t xml:space="preserve"> (i.e., inter-UE inter-subband CLI measurement Method#1).</w:t>
      </w:r>
    </w:p>
    <w:p>
      <w:pPr>
        <w:pStyle w:val="4"/>
        <w:rPr>
          <w:rFonts w:ascii="Times New Roman" w:hAnsi="Times New Roman"/>
          <w:lang w:eastAsia="zh-CN"/>
        </w:rPr>
      </w:pPr>
      <w:r>
        <w:rPr>
          <w:rFonts w:ascii="Times New Roman" w:hAnsi="Times New Roman"/>
          <w:lang w:eastAsia="zh-CN"/>
        </w:rPr>
        <w:t>Inter-UE inter-subband CLI measurement Method#2</w:t>
      </w:r>
    </w:p>
    <w:p>
      <w:pPr>
        <w:jc w:val="both"/>
        <w:rPr>
          <w:lang w:eastAsia="zh-CN"/>
        </w:rPr>
      </w:pPr>
      <w:r>
        <w:rPr>
          <w:lang w:eastAsia="zh-CN"/>
        </w:rPr>
        <w:fldChar w:fldCharType="begin"/>
      </w:r>
      <w:r>
        <w:rPr>
          <w:lang w:eastAsia="zh-CN"/>
        </w:rPr>
        <w:instrText xml:space="preserve"> </w:instrText>
      </w:r>
      <w:r>
        <w:rPr>
          <w:rFonts w:hint="eastAsia"/>
          <w:lang w:eastAsia="zh-CN"/>
        </w:rPr>
        <w:instrText xml:space="preserve">REF _Ref127093143 \h</w:instrText>
      </w:r>
      <w:r>
        <w:rPr>
          <w:lang w:eastAsia="zh-CN"/>
        </w:rPr>
        <w:instrText xml:space="preserve"> </w:instrText>
      </w:r>
      <w:r>
        <w:rPr>
          <w:lang w:eastAsia="zh-CN"/>
        </w:rPr>
        <w:fldChar w:fldCharType="separate"/>
      </w:r>
      <w:r>
        <w:rPr>
          <w:b/>
          <w:bCs/>
          <w:lang w:eastAsia="zh-CN"/>
        </w:rPr>
        <w:t>Figure 5</w:t>
      </w:r>
      <w:r>
        <w:rPr>
          <w:lang w:eastAsia="zh-CN"/>
        </w:rPr>
        <w:fldChar w:fldCharType="end"/>
      </w:r>
      <w:r>
        <w:rPr>
          <w:lang w:eastAsia="zh-CN"/>
        </w:rPr>
        <w:t xml:space="preserve"> is an illustration of method#2 which is similar to Rel-16 CLI-SRS RSRP measurement, but victim UE needs to measure the interference signal strength in its UL subband not DL subband due to aggressor UE can only transmit CLI-SRS in UL subband. Victim UE can derive the inter-subband CLI based on the measurement result of CLI-SRS RSRP and report it to the network as well as the CLI-SRS index to help gNB identify the strongest aggressor UE. </w:t>
      </w:r>
    </w:p>
    <w:p>
      <w:pPr>
        <w:jc w:val="both"/>
        <w:rPr>
          <w:lang w:eastAsia="zh-CN"/>
        </w:rPr>
      </w:pPr>
      <w:r>
        <w:rPr>
          <w:lang w:eastAsia="zh-CN"/>
        </w:rPr>
        <w:t>This option may need UE to receive in DL subband and measur</w:t>
      </w:r>
      <w:r>
        <w:rPr>
          <w:rFonts w:hint="eastAsia"/>
          <w:lang w:eastAsia="zh-CN"/>
        </w:rPr>
        <w:t>e</w:t>
      </w:r>
      <w:r>
        <w:rPr>
          <w:lang w:eastAsia="zh-CN"/>
        </w:rPr>
        <w:t xml:space="preserve"> CLI in UL subband simultaneously to avoid the performance degradation. Some companies argued this functionality has been supported in Rel-16 inter-UE CLI measurement, but the Rel-16 inter-UE CLI measurement can only be performed in UE’s active DL BWP. Considering we are also discussing the frequency location indication of UL/DL subband and the relationship with UL/DL BWP, if the DL BWP contains the UL subband frequency region </w:t>
      </w:r>
      <w:r>
        <w:rPr>
          <w:rFonts w:hint="eastAsia"/>
          <w:lang w:eastAsia="zh-CN"/>
        </w:rPr>
        <w:t>and</w:t>
      </w:r>
      <w:r>
        <w:rPr>
          <w:lang w:eastAsia="zh-CN"/>
        </w:rPr>
        <w:t xml:space="preserve"> if inter-UE CLI measurement outside DL subband is allowed, this function can be supported by Rel-16 inter-UE CLI measurement.</w:t>
      </w:r>
    </w:p>
    <w:p>
      <w:pPr>
        <w:jc w:val="center"/>
        <w:rPr>
          <w:lang w:eastAsia="zh-CN"/>
        </w:rPr>
      </w:pPr>
      <w:r>
        <w:rPr>
          <w:lang w:eastAsia="zh-CN"/>
        </w:rPr>
        <w:drawing>
          <wp:inline distT="0" distB="0" distL="0" distR="0">
            <wp:extent cx="3300730" cy="112903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340103" cy="1142898"/>
                    </a:xfrm>
                    <a:prstGeom prst="rect">
                      <a:avLst/>
                    </a:prstGeom>
                    <a:noFill/>
                  </pic:spPr>
                </pic:pic>
              </a:graphicData>
            </a:graphic>
          </wp:inline>
        </w:drawing>
      </w:r>
    </w:p>
    <w:p>
      <w:pPr>
        <w:jc w:val="center"/>
        <w:rPr>
          <w:b/>
          <w:bCs/>
          <w:lang w:eastAsia="zh-CN"/>
        </w:rPr>
      </w:pPr>
      <w:bookmarkStart w:id="9" w:name="_Ref127093143"/>
      <w:r>
        <w:rPr>
          <w:b/>
          <w:bCs/>
          <w:lang w:eastAsia="zh-CN"/>
        </w:rPr>
        <w:t xml:space="preserve">Figure </w:t>
      </w:r>
      <w:bookmarkEnd w:id="9"/>
      <w:r>
        <w:rPr>
          <w:b/>
          <w:bCs/>
          <w:lang w:eastAsia="zh-CN"/>
        </w:rPr>
        <w:t>5. Inter-UE inter-subband CLI measurement method#2</w:t>
      </w:r>
      <w:bookmarkStart w:id="10" w:name="_Hlk110333258"/>
    </w:p>
    <w:p>
      <w:pPr>
        <w:jc w:val="both"/>
        <w:rPr>
          <w:rFonts w:eastAsiaTheme="minorEastAsia"/>
          <w:lang w:eastAsia="zh-CN"/>
        </w:rPr>
      </w:pPr>
      <w:r>
        <w:rPr>
          <w:rFonts w:hint="eastAsia"/>
          <w:lang w:eastAsia="zh-CN"/>
        </w:rPr>
        <w:t>F</w:t>
      </w:r>
      <w:r>
        <w:rPr>
          <w:lang w:eastAsia="zh-CN"/>
        </w:rPr>
        <w:t xml:space="preserve">urthermore, to enable </w:t>
      </w:r>
      <w:r>
        <w:rPr>
          <w:rFonts w:eastAsiaTheme="minorEastAsia"/>
          <w:lang w:eastAsia="zh-CN"/>
        </w:rPr>
        <w:t xml:space="preserve">inter-gNB coordination, the serving gNB for victim UE should be able to estimate the interference intensity of inter-UE inter-subband CLI from the reported </w:t>
      </w:r>
      <w:r>
        <w:rPr>
          <w:lang w:eastAsia="zh-CN"/>
        </w:rPr>
        <w:t xml:space="preserve">CLI-SRS RSRP. The inter-UE </w:t>
      </w:r>
      <w:r>
        <w:rPr>
          <w:rFonts w:eastAsiaTheme="minorEastAsia"/>
          <w:lang w:eastAsia="zh-CN"/>
        </w:rPr>
        <w:t>inter-subband CLI modelling</w:t>
      </w:r>
      <w:r>
        <w:rPr>
          <w:lang w:eastAsia="zh-CN"/>
        </w:rPr>
        <w:t xml:space="preserve"> as well as the blocker model at UE side under discussing in AI 9.3.1</w:t>
      </w:r>
      <w:r>
        <w:rPr>
          <w:rFonts w:eastAsiaTheme="minorEastAsia"/>
          <w:lang w:eastAsia="zh-CN"/>
        </w:rPr>
        <w:t xml:space="preserve"> can be considered as starting point [3].</w:t>
      </w:r>
    </w:p>
    <w:p>
      <w:pPr>
        <w:rPr>
          <w:rFonts w:cs="Calibri"/>
          <w:bCs/>
        </w:rPr>
      </w:pPr>
      <w:r>
        <w:rPr>
          <w:lang w:eastAsia="zh-CN"/>
        </w:rPr>
        <w:t xml:space="preserve">The inter-UE </w:t>
      </w:r>
      <w:r>
        <w:rPr>
          <w:rFonts w:eastAsiaTheme="minorEastAsia"/>
          <w:lang w:eastAsia="zh-CN"/>
        </w:rPr>
        <w:t>inter-subband CLI Tx</w:t>
      </w:r>
      <w:r>
        <w:rPr>
          <w:rFonts w:cs="Calibri"/>
          <w:bCs/>
        </w:rPr>
        <w:t xml:space="preserve"> </w:t>
      </w:r>
      <w:r>
        <w:rPr>
          <w:rFonts w:cs="Calibri"/>
        </w:rPr>
        <w:t>leakage</w:t>
      </w:r>
      <w:r>
        <w:rPr>
          <w:rFonts w:cs="Calibri"/>
          <w:bCs/>
        </w:rPr>
        <w:t xml:space="preserve"> model can be modelled as the following agreement: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textAlignment w:val="baseline"/>
              <w:rPr>
                <w:b/>
                <w:bCs/>
                <w:highlight w:val="green"/>
                <w:lang w:eastAsia="ko-KR"/>
              </w:rPr>
            </w:pPr>
            <w:r>
              <w:rPr>
                <w:b/>
                <w:bCs/>
                <w:highlight w:val="green"/>
                <w:lang w:eastAsia="ko-KR"/>
              </w:rPr>
              <w:t>Agreement</w:t>
            </w:r>
          </w:p>
          <w:p>
            <w:pPr>
              <w:overflowPunct w:val="0"/>
              <w:autoSpaceDE w:val="0"/>
              <w:autoSpaceDN w:val="0"/>
              <w:adjustRightInd w:val="0"/>
              <w:spacing w:after="120"/>
              <w:textAlignment w:val="baseline"/>
              <w:rPr>
                <w:rFonts w:cs="Calibri"/>
                <w:bCs/>
              </w:rPr>
            </w:pPr>
            <w:r>
              <w:rPr>
                <w:rFonts w:cs="Calibri"/>
                <w:bCs/>
              </w:rPr>
              <w:t xml:space="preserve">For SLS in RAN1, regarding Tx </w:t>
            </w:r>
            <w:r>
              <w:rPr>
                <w:rFonts w:cs="Calibri"/>
              </w:rPr>
              <w:t>leakage</w:t>
            </w:r>
            <w:r>
              <w:rPr>
                <w:rFonts w:cs="Calibri"/>
                <w:bCs/>
              </w:rPr>
              <w:t xml:space="preserve"> model of UE-UE co-channel inter-subband CLI modelling, Option 1 is used as starting point.</w:t>
            </w:r>
          </w:p>
          <w:p>
            <w:pPr>
              <w:numPr>
                <w:ilvl w:val="0"/>
                <w:numId w:val="14"/>
              </w:numPr>
              <w:overflowPunct w:val="0"/>
              <w:autoSpaceDE w:val="0"/>
              <w:autoSpaceDN w:val="0"/>
              <w:adjustRightInd w:val="0"/>
              <w:spacing w:before="0" w:after="0"/>
              <w:textAlignment w:val="baseline"/>
              <w:rPr>
                <w:rFonts w:cs="Calibri"/>
                <w:bCs/>
              </w:rPr>
            </w:pPr>
            <w:r>
              <w:rPr>
                <w:rFonts w:cs="Calibri"/>
                <w:bCs/>
              </w:rPr>
              <w:t>Option 1: RAN1 to take in-band emission (IBE) defined in TS38.101-1 and TS38.101-2 as starting point.</w:t>
            </w:r>
          </w:p>
          <w:p>
            <w:pPr>
              <w:numPr>
                <w:ilvl w:val="0"/>
                <w:numId w:val="14"/>
              </w:numPr>
              <w:overflowPunct/>
              <w:autoSpaceDE/>
              <w:autoSpaceDN/>
              <w:adjustRightInd/>
              <w:spacing w:before="0" w:after="0"/>
              <w:textAlignment w:val="auto"/>
              <w:rPr>
                <w:rFonts w:cs="Calibri"/>
                <w:bCs/>
              </w:rPr>
            </w:pPr>
            <w:r>
              <w:rPr>
                <w:rFonts w:hint="eastAsia" w:cs="Calibri"/>
                <w:bCs/>
              </w:rPr>
              <w:t>S</w:t>
            </w:r>
            <w:r>
              <w:rPr>
                <w:rFonts w:cs="Calibri"/>
                <w:bCs/>
              </w:rPr>
              <w:t xml:space="preserve">end LS to RAN4 to ask them whether it can be modelled as </w:t>
            </w:r>
            <w:r>
              <w:rPr>
                <w:rFonts w:cs="Calibri"/>
              </w:rPr>
              <w:t xml:space="preserve">an equivalent frequency flat model (e.g., </w:t>
            </w:r>
            <m:oMath>
              <m:sSub>
                <m:sSubPr>
                  <m:ctrlPr>
                    <w:rPr>
                      <w:rFonts w:ascii="Cambria Math" w:hAnsi="Cambria Math" w:cs="Calibri"/>
                    </w:rPr>
                  </m:ctrlPr>
                </m:sSubPr>
                <m:e>
                  <m:r>
                    <m:rPr>
                      <m:sty m:val="p"/>
                    </m:rPr>
                    <w:rPr>
                      <w:rFonts w:ascii="Cambria Math" w:hAnsi="Cambria Math" w:cs="Calibri"/>
                    </w:rPr>
                    <m:t>IBE</m:t>
                  </m:r>
                  <m:ctrlPr>
                    <w:rPr>
                      <w:rFonts w:ascii="Cambria Math" w:hAnsi="Cambria Math" w:cs="Calibri"/>
                    </w:rPr>
                  </m:ctrlPr>
                </m:e>
                <m:sub>
                  <m:r>
                    <m:rPr>
                      <m:sty m:val="p"/>
                    </m:rPr>
                    <w:rPr>
                      <w:rFonts w:ascii="Cambria Math" w:hAnsi="Cambria Math" w:cs="Calibri"/>
                    </w:rPr>
                    <m:t>UE,ave</m:t>
                  </m:r>
                  <m:ctrlPr>
                    <w:rPr>
                      <w:rFonts w:ascii="Cambria Math" w:hAnsi="Cambria Math" w:cs="Calibri"/>
                    </w:rPr>
                  </m:ctrlPr>
                </m:sub>
              </m:sSub>
            </m:oMath>
            <w:r>
              <w:rPr>
                <w:rFonts w:cs="Calibri"/>
              </w:rPr>
              <w:t xml:space="preserve">) based on RAN4 IBE requirement, and if possible, what is </w:t>
            </w:r>
            <w:r>
              <w:rPr>
                <w:rFonts w:cs="Calibri"/>
                <w:iCs/>
              </w:rPr>
              <w:t xml:space="preserve">the value of </w:t>
            </w:r>
            <m:oMath>
              <m:sSub>
                <m:sSubPr>
                  <m:ctrlPr>
                    <w:rPr>
                      <w:rFonts w:ascii="Cambria Math" w:hAnsi="Cambria Math" w:cs="Calibri"/>
                      <w:iCs/>
                    </w:rPr>
                  </m:ctrlPr>
                </m:sSubPr>
                <m:e>
                  <m:r>
                    <m:rPr>
                      <m:sty m:val="p"/>
                    </m:rPr>
                    <w:rPr>
                      <w:rFonts w:ascii="Cambria Math" w:hAnsi="Cambria Math" w:cs="Calibri"/>
                    </w:rPr>
                    <m:t>IBE</m:t>
                  </m:r>
                  <m:ctrlPr>
                    <w:rPr>
                      <w:rFonts w:ascii="Cambria Math" w:hAnsi="Cambria Math" w:cs="Calibri"/>
                      <w:iCs/>
                    </w:rPr>
                  </m:ctrlPr>
                </m:e>
                <m:sub>
                  <m:r>
                    <m:rPr>
                      <m:sty m:val="p"/>
                    </m:rPr>
                    <w:rPr>
                      <w:rFonts w:ascii="Cambria Math" w:hAnsi="Cambria Math" w:cs="Calibri"/>
                    </w:rPr>
                    <m:t>UE,ave</m:t>
                  </m:r>
                  <m:ctrlPr>
                    <w:rPr>
                      <w:rFonts w:ascii="Cambria Math" w:hAnsi="Cambria Math" w:cs="Calibri"/>
                      <w:iCs/>
                    </w:rPr>
                  </m:ctrlPr>
                </m:sub>
              </m:sSub>
            </m:oMath>
          </w:p>
        </w:tc>
      </w:tr>
    </w:tbl>
    <w:p>
      <w:pPr>
        <w:jc w:val="both"/>
        <w:rPr>
          <w:rFonts w:eastAsiaTheme="minorEastAsia"/>
          <w:lang w:eastAsia="zh-CN"/>
        </w:rPr>
      </w:pPr>
      <w:r>
        <w:rPr>
          <w:lang w:eastAsia="zh-CN"/>
        </w:rPr>
        <w:t xml:space="preserve">The inter-UE </w:t>
      </w:r>
      <w:r>
        <w:rPr>
          <w:rFonts w:eastAsiaTheme="minorEastAsia"/>
          <w:lang w:eastAsia="zh-CN"/>
        </w:rPr>
        <w:t xml:space="preserve">inter-subband CLI </w:t>
      </w:r>
      <w:r>
        <w:rPr>
          <w:rFonts w:cstheme="minorHAnsi"/>
          <w:bCs/>
        </w:rPr>
        <w:t xml:space="preserve">Rx </w:t>
      </w:r>
      <w:r>
        <w:t>impairment</w:t>
      </w:r>
      <w:r>
        <w:rPr>
          <w:rFonts w:cstheme="minorHAnsi"/>
          <w:bCs/>
        </w:rPr>
        <w:t xml:space="preserve"> model and </w:t>
      </w:r>
      <w:r>
        <w:rPr>
          <w:lang w:eastAsia="zh-CN"/>
        </w:rPr>
        <w:t>blocker model can be considered as the following [3]</w:t>
      </w:r>
      <w:r>
        <w:rPr>
          <w:rFonts w:cs="Calibri"/>
          <w:bCs/>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textAlignment w:val="baseline"/>
              <w:rPr>
                <w:b/>
                <w:bCs/>
                <w:lang w:eastAsia="zh-CN"/>
              </w:rPr>
            </w:pPr>
            <w:r>
              <w:rPr>
                <w:b/>
                <w:bCs/>
                <w:i/>
                <w:u w:val="single"/>
              </w:rPr>
              <w:t>Initial question 2-1-7:</w:t>
            </w:r>
          </w:p>
          <w:p>
            <w:pPr>
              <w:overflowPunct w:val="0"/>
              <w:autoSpaceDE w:val="0"/>
              <w:autoSpaceDN w:val="0"/>
              <w:adjustRightInd w:val="0"/>
              <w:spacing w:after="120"/>
              <w:textAlignment w:val="baseline"/>
              <w:rPr>
                <w:rFonts w:cstheme="minorHAnsi"/>
                <w:bCs/>
              </w:rPr>
            </w:pPr>
            <w:r>
              <w:rPr>
                <w:rFonts w:cstheme="minorHAnsi"/>
                <w:bCs/>
              </w:rPr>
              <w:t xml:space="preserve">For SLS in RAN1, regarding Rx </w:t>
            </w:r>
            <w:r>
              <w:t>impairment</w:t>
            </w:r>
            <w:r>
              <w:rPr>
                <w:rFonts w:cstheme="minorHAnsi"/>
                <w:bCs/>
              </w:rPr>
              <w:t xml:space="preserve"> model of UE-UE co-channel inter-subband CLI modelling, what’s your views on the following options or other options?</w:t>
            </w:r>
          </w:p>
          <w:p>
            <w:pPr>
              <w:widowControl w:val="0"/>
              <w:numPr>
                <w:ilvl w:val="0"/>
                <w:numId w:val="14"/>
              </w:numPr>
              <w:overflowPunct w:val="0"/>
              <w:autoSpaceDE w:val="0"/>
              <w:autoSpaceDN w:val="0"/>
              <w:adjustRightInd w:val="0"/>
              <w:spacing w:before="0" w:after="0"/>
              <w:jc w:val="both"/>
              <w:textAlignment w:val="baseline"/>
              <w:rPr>
                <w:rFonts w:cstheme="minorHAnsi"/>
                <w:bCs/>
              </w:rPr>
            </w:pPr>
            <w:r>
              <w:rPr>
                <w:rFonts w:cstheme="minorHAnsi"/>
                <w:bCs/>
              </w:rPr>
              <w:t>Option 1: Reuse UE ACS</w:t>
            </w:r>
            <w:r>
              <w:t xml:space="preserve"> in absence of further RAN4 inputs</w:t>
            </w:r>
            <w:r>
              <w:rPr>
                <w:rFonts w:cstheme="minorHAnsi"/>
                <w:bCs/>
              </w:rPr>
              <w:t>.</w:t>
            </w:r>
          </w:p>
          <w:p>
            <w:pPr>
              <w:widowControl w:val="0"/>
              <w:numPr>
                <w:ilvl w:val="0"/>
                <w:numId w:val="14"/>
              </w:numPr>
              <w:overflowPunct w:val="0"/>
              <w:autoSpaceDE w:val="0"/>
              <w:autoSpaceDN w:val="0"/>
              <w:adjustRightInd w:val="0"/>
              <w:spacing w:before="0" w:after="0"/>
              <w:jc w:val="both"/>
              <w:textAlignment w:val="baseline"/>
              <w:rPr>
                <w:rFonts w:cstheme="minorHAnsi"/>
                <w:bCs/>
              </w:rPr>
            </w:pPr>
            <w:r>
              <w:rPr>
                <w:rFonts w:cstheme="minorHAnsi"/>
                <w:bCs/>
              </w:rPr>
              <w:t xml:space="preserve">Option 2: RAN1 </w:t>
            </w:r>
            <w:r>
              <w:t>assumes no UE in-band selectivity in absence of further RAN4 inputs, i.e., 0 dB without any rejection/attenuation on interference in Rx model.</w:t>
            </w:r>
          </w:p>
          <w:p>
            <w:pPr>
              <w:overflowPunct w:val="0"/>
              <w:autoSpaceDE w:val="0"/>
              <w:autoSpaceDN w:val="0"/>
              <w:adjustRightInd w:val="0"/>
              <w:textAlignment w:val="baseline"/>
              <w:rPr>
                <w:b/>
                <w:bCs/>
                <w:i/>
                <w:u w:val="single"/>
              </w:rPr>
            </w:pPr>
            <w:r>
              <w:rPr>
                <w:b/>
                <w:bCs/>
                <w:i/>
                <w:u w:val="single"/>
              </w:rPr>
              <w:t>Initial question 2-1-8:</w:t>
            </w:r>
          </w:p>
          <w:p>
            <w:pPr>
              <w:overflowPunct w:val="0"/>
              <w:autoSpaceDE w:val="0"/>
              <w:autoSpaceDN w:val="0"/>
              <w:adjustRightInd w:val="0"/>
              <w:textAlignment w:val="baseline"/>
              <w:rPr>
                <w:rFonts w:eastAsia="MS Mincho" w:cstheme="minorHAnsi"/>
                <w:bCs/>
              </w:rPr>
            </w:pPr>
            <w:r>
              <w:rPr>
                <w:rFonts w:eastAsia="MS Mincho" w:cstheme="minorHAnsi"/>
                <w:bCs/>
              </w:rPr>
              <w:t>What’s your views on the following proposal and how is it used in SLS?</w:t>
            </w:r>
          </w:p>
          <w:p>
            <w:pPr>
              <w:widowControl w:val="0"/>
              <w:numPr>
                <w:ilvl w:val="0"/>
                <w:numId w:val="14"/>
              </w:numPr>
              <w:overflowPunct w:val="0"/>
              <w:autoSpaceDE w:val="0"/>
              <w:autoSpaceDN w:val="0"/>
              <w:adjustRightInd w:val="0"/>
              <w:spacing w:before="0" w:after="0"/>
              <w:jc w:val="both"/>
              <w:textAlignment w:val="baseline"/>
              <w:rPr>
                <w:rFonts w:cstheme="minorHAnsi"/>
                <w:bCs/>
              </w:rPr>
            </w:pPr>
            <w:r>
              <w:rPr>
                <w:rFonts w:cstheme="minorHAnsi"/>
                <w:bCs/>
              </w:rPr>
              <w:t xml:space="preserve">For inter-UE inter-subband CLI modeling, the blocker interference at the UL subband of the victim UE can be modelled as increase of quantization noise which affects the DL SIQRN when blocker power is higher than RSSI of the DL signal. </w:t>
            </w:r>
          </w:p>
          <w:p>
            <w:pPr>
              <w:widowControl w:val="0"/>
              <w:numPr>
                <w:ilvl w:val="1"/>
                <w:numId w:val="14"/>
              </w:numPr>
              <w:overflowPunct w:val="0"/>
              <w:autoSpaceDE w:val="0"/>
              <w:autoSpaceDN w:val="0"/>
              <w:adjustRightInd w:val="0"/>
              <w:spacing w:before="0" w:after="0"/>
              <w:jc w:val="both"/>
              <w:textAlignment w:val="baseline"/>
              <w:rPr>
                <w:rFonts w:cstheme="minorHAnsi"/>
                <w:bCs/>
              </w:rPr>
            </w:pPr>
            <m:oMath>
              <m:r>
                <m:rPr>
                  <m:sty m:val="p"/>
                </m:rPr>
                <w:rPr>
                  <w:rFonts w:ascii="Cambria Math" w:hAnsi="Cambria Math" w:cstheme="minorHAnsi"/>
                </w:rPr>
                <m:t>Δ</m:t>
              </m:r>
              <m:sSub>
                <m:sSubPr>
                  <m:ctrlPr>
                    <w:rPr>
                      <w:rFonts w:ascii="Cambria Math" w:hAnsi="Cambria Math" w:cstheme="minorHAnsi"/>
                      <w:bCs/>
                    </w:rPr>
                  </m:ctrlPr>
                </m:sSubPr>
                <m:e>
                  <m:r>
                    <m:rPr/>
                    <w:rPr>
                      <w:rFonts w:ascii="Cambria Math" w:hAnsi="Cambria Math" w:cstheme="minorHAnsi"/>
                    </w:rPr>
                    <m:t>Q</m:t>
                  </m:r>
                  <m:ctrlPr>
                    <w:rPr>
                      <w:rFonts w:ascii="Cambria Math" w:hAnsi="Cambria Math" w:cstheme="minorHAnsi"/>
                      <w:bCs/>
                    </w:rPr>
                  </m:ctrlPr>
                </m:e>
                <m:sub>
                  <m:r>
                    <m:rPr/>
                    <w:rPr>
                      <w:rFonts w:ascii="Cambria Math" w:hAnsi="Cambria Math" w:cstheme="minorHAnsi"/>
                    </w:rPr>
                    <m:t>n</m:t>
                  </m:r>
                  <m:ctrlPr>
                    <w:rPr>
                      <w:rFonts w:ascii="Cambria Math" w:hAnsi="Cambria Math" w:cstheme="minorHAnsi"/>
                      <w:bCs/>
                    </w:rPr>
                  </m:ctrlPr>
                </m:sub>
              </m:sSub>
              <m:d>
                <m:dPr>
                  <m:ctrlPr>
                    <w:rPr>
                      <w:rFonts w:ascii="Cambria Math" w:hAnsi="Cambria Math" w:cstheme="minorHAnsi"/>
                      <w:bCs/>
                    </w:rPr>
                  </m:ctrlPr>
                </m:dPr>
                <m:e>
                  <m:r>
                    <m:rPr/>
                    <w:rPr>
                      <w:rFonts w:ascii="Cambria Math" w:hAnsi="Cambria Math" w:cstheme="minorHAnsi"/>
                    </w:rPr>
                    <m:t>dB</m:t>
                  </m:r>
                  <m:ctrlPr>
                    <w:rPr>
                      <w:rFonts w:ascii="Cambria Math" w:hAnsi="Cambria Math" w:cstheme="minorHAnsi"/>
                      <w:bCs/>
                    </w:rPr>
                  </m:ctrlPr>
                </m:e>
              </m:d>
              <m:r>
                <m:rPr>
                  <m:sty m:val="p"/>
                </m:rPr>
                <w:rPr>
                  <w:rFonts w:ascii="Cambria Math" w:hAnsi="Cambria Math" w:cstheme="minorHAnsi"/>
                </w:rPr>
                <m:t> ≈</m:t>
              </m:r>
              <m:sSub>
                <m:sSubPr>
                  <m:ctrlPr>
                    <w:rPr>
                      <w:rFonts w:ascii="Cambria Math" w:hAnsi="Cambria Math" w:cstheme="minorHAnsi"/>
                      <w:bCs/>
                    </w:rPr>
                  </m:ctrlPr>
                </m:sSubPr>
                <m:e>
                  <m:r>
                    <m:rPr/>
                    <w:rPr>
                      <w:rFonts w:ascii="Cambria Math" w:hAnsi="Cambria Math" w:cstheme="minorHAnsi"/>
                    </w:rPr>
                    <m:t>I</m:t>
                  </m:r>
                  <m:ctrlPr>
                    <w:rPr>
                      <w:rFonts w:ascii="Cambria Math" w:hAnsi="Cambria Math" w:cstheme="minorHAnsi"/>
                      <w:bCs/>
                    </w:rPr>
                  </m:ctrlPr>
                </m:e>
                <m:sub>
                  <m:r>
                    <m:rPr/>
                    <w:rPr>
                      <w:rFonts w:ascii="Cambria Math" w:hAnsi="Cambria Math" w:cstheme="minorHAnsi"/>
                    </w:rPr>
                    <m:t>x</m:t>
                  </m:r>
                  <m:ctrlPr>
                    <w:rPr>
                      <w:rFonts w:ascii="Cambria Math" w:hAnsi="Cambria Math" w:cstheme="minorHAnsi"/>
                      <w:bCs/>
                    </w:rPr>
                  </m:ctrlPr>
                </m:sub>
              </m:sSub>
              <m:r>
                <m:rPr>
                  <m:sty m:val="p"/>
                </m:rPr>
                <w:rPr>
                  <w:rFonts w:ascii="Cambria Math" w:hAnsi="Cambria Math" w:cstheme="minorHAnsi"/>
                </w:rPr>
                <m:t>−</m:t>
              </m:r>
              <m:r>
                <m:rPr/>
                <w:rPr>
                  <w:rFonts w:ascii="Cambria Math" w:hAnsi="Cambria Math" w:cstheme="minorHAnsi"/>
                </w:rPr>
                <m:t>RSSI</m:t>
              </m:r>
              <m:r>
                <m:rPr>
                  <m:sty m:val="p"/>
                </m:rPr>
                <w:rPr>
                  <w:rFonts w:ascii="Cambria Math" w:hAnsi="Cambria Math" w:cstheme="minorHAnsi"/>
                </w:rPr>
                <m:t> </m:t>
              </m:r>
            </m:oMath>
          </w:p>
          <w:p>
            <w:pPr>
              <w:widowControl w:val="0"/>
              <w:numPr>
                <w:ilvl w:val="1"/>
                <w:numId w:val="14"/>
              </w:numPr>
              <w:overflowPunct w:val="0"/>
              <w:autoSpaceDE w:val="0"/>
              <w:autoSpaceDN w:val="0"/>
              <w:adjustRightInd w:val="0"/>
              <w:spacing w:before="0" w:after="0"/>
              <w:jc w:val="both"/>
              <w:textAlignment w:val="baseline"/>
              <w:rPr>
                <w:rFonts w:cstheme="minorHAnsi"/>
                <w:bCs/>
              </w:rPr>
            </w:pPr>
            <m:oMath>
              <m:r>
                <m:rPr/>
                <w:rPr>
                  <w:rFonts w:ascii="Cambria Math" w:hAnsi="Cambria Math" w:cstheme="minorHAnsi"/>
                </w:rPr>
                <m:t>SIQNR</m:t>
              </m:r>
              <m:r>
                <m:rPr>
                  <m:sty m:val="p"/>
                </m:rPr>
                <w:rPr>
                  <w:rFonts w:ascii="Cambria Math" w:hAnsi="Cambria Math" w:cstheme="minorHAnsi"/>
                </w:rPr>
                <m:t>= </m:t>
              </m:r>
              <m:f>
                <m:fPr>
                  <m:ctrlPr>
                    <w:rPr>
                      <w:rFonts w:ascii="Cambria Math" w:hAnsi="Cambria Math" w:cstheme="minorHAnsi"/>
                      <w:bCs/>
                    </w:rPr>
                  </m:ctrlPr>
                </m:fPr>
                <m:num>
                  <m:sSub>
                    <m:sSubPr>
                      <m:ctrlPr>
                        <w:rPr>
                          <w:rFonts w:ascii="Cambria Math" w:hAnsi="Cambria Math" w:cstheme="minorHAnsi"/>
                          <w:bCs/>
                        </w:rPr>
                      </m:ctrlPr>
                    </m:sSubPr>
                    <m:e>
                      <m:r>
                        <m:rPr/>
                        <w:rPr>
                          <w:rFonts w:ascii="Cambria Math" w:hAnsi="Cambria Math" w:cstheme="minorHAnsi"/>
                        </w:rPr>
                        <m:t>S</m:t>
                      </m:r>
                      <m:ctrlPr>
                        <w:rPr>
                          <w:rFonts w:ascii="Cambria Math" w:hAnsi="Cambria Math" w:cstheme="minorHAnsi"/>
                          <w:bCs/>
                        </w:rPr>
                      </m:ctrlPr>
                    </m:e>
                    <m:sub>
                      <m:r>
                        <m:rPr/>
                        <w:rPr>
                          <w:rFonts w:ascii="Cambria Math" w:hAnsi="Cambria Math" w:cstheme="minorHAnsi"/>
                        </w:rPr>
                        <m:t>P</m:t>
                      </m:r>
                      <m:ctrlPr>
                        <w:rPr>
                          <w:rFonts w:ascii="Cambria Math" w:hAnsi="Cambria Math" w:cstheme="minorHAnsi"/>
                          <w:bCs/>
                        </w:rPr>
                      </m:ctrlPr>
                    </m:sub>
                  </m:sSub>
                  <m:ctrlPr>
                    <w:rPr>
                      <w:rFonts w:ascii="Cambria Math" w:hAnsi="Cambria Math" w:cstheme="minorHAnsi"/>
                      <w:bCs/>
                    </w:rPr>
                  </m:ctrlPr>
                </m:num>
                <m:den>
                  <m:sSub>
                    <m:sSubPr>
                      <m:ctrlPr>
                        <w:rPr>
                          <w:rFonts w:ascii="Cambria Math" w:hAnsi="Cambria Math" w:cstheme="minorHAnsi"/>
                          <w:bCs/>
                        </w:rPr>
                      </m:ctrlPr>
                    </m:sSubPr>
                    <m:e>
                      <m:r>
                        <m:rPr/>
                        <w:rPr>
                          <w:rFonts w:ascii="Cambria Math" w:hAnsi="Cambria Math" w:cstheme="minorHAnsi"/>
                        </w:rPr>
                        <m:t>N</m:t>
                      </m:r>
                      <m:ctrlPr>
                        <w:rPr>
                          <w:rFonts w:ascii="Cambria Math" w:hAnsi="Cambria Math" w:cstheme="minorHAnsi"/>
                          <w:bCs/>
                        </w:rPr>
                      </m:ctrlPr>
                    </m:e>
                    <m:sub>
                      <m:r>
                        <m:rPr/>
                        <w:rPr>
                          <w:rFonts w:ascii="Cambria Math" w:hAnsi="Cambria Math" w:cstheme="minorHAnsi"/>
                        </w:rPr>
                        <m:t>p</m:t>
                      </m:r>
                      <m:ctrlPr>
                        <w:rPr>
                          <w:rFonts w:ascii="Cambria Math" w:hAnsi="Cambria Math" w:cstheme="minorHAnsi"/>
                          <w:bCs/>
                        </w:rPr>
                      </m:ctrlPr>
                    </m:sub>
                  </m:sSub>
                  <m:r>
                    <m:rPr>
                      <m:sty m:val="p"/>
                    </m:rPr>
                    <w:rPr>
                      <w:rFonts w:ascii="Cambria Math" w:hAnsi="Cambria Math" w:cstheme="minorHAnsi"/>
                    </w:rPr>
                    <m:t>+</m:t>
                  </m:r>
                  <m:sSub>
                    <m:sSubPr>
                      <m:ctrlPr>
                        <w:rPr>
                          <w:rFonts w:ascii="Cambria Math" w:hAnsi="Cambria Math" w:cstheme="minorHAnsi"/>
                          <w:bCs/>
                        </w:rPr>
                      </m:ctrlPr>
                    </m:sSubPr>
                    <m:e>
                      <m:r>
                        <m:rPr/>
                        <w:rPr>
                          <w:rFonts w:ascii="Cambria Math" w:hAnsi="Cambria Math" w:cstheme="minorHAnsi"/>
                        </w:rPr>
                        <m:t>I</m:t>
                      </m:r>
                      <m:ctrlPr>
                        <w:rPr>
                          <w:rFonts w:ascii="Cambria Math" w:hAnsi="Cambria Math" w:cstheme="minorHAnsi"/>
                          <w:bCs/>
                        </w:rPr>
                      </m:ctrlPr>
                    </m:e>
                    <m:sub>
                      <m:r>
                        <m:rPr/>
                        <w:rPr>
                          <w:rFonts w:ascii="Cambria Math" w:hAnsi="Cambria Math" w:cstheme="minorHAnsi"/>
                        </w:rPr>
                        <m:t>z</m:t>
                      </m:r>
                      <m:ctrlPr>
                        <w:rPr>
                          <w:rFonts w:ascii="Cambria Math" w:hAnsi="Cambria Math" w:cstheme="minorHAnsi"/>
                          <w:bCs/>
                        </w:rPr>
                      </m:ctrlPr>
                    </m:sub>
                  </m:sSub>
                  <m:r>
                    <m:rPr>
                      <m:sty m:val="p"/>
                    </m:rPr>
                    <w:rPr>
                      <w:rFonts w:ascii="Cambria Math" w:hAnsi="Cambria Math" w:cstheme="minorHAnsi"/>
                    </w:rPr>
                    <m:t>+ </m:t>
                  </m:r>
                  <m:sSub>
                    <m:sSubPr>
                      <m:ctrlPr>
                        <w:rPr>
                          <w:rFonts w:ascii="Cambria Math" w:hAnsi="Cambria Math" w:cstheme="minorHAnsi"/>
                          <w:bCs/>
                        </w:rPr>
                      </m:ctrlPr>
                    </m:sSubPr>
                    <m:e>
                      <m:r>
                        <m:rPr/>
                        <w:rPr>
                          <w:rFonts w:ascii="Cambria Math" w:hAnsi="Cambria Math" w:cstheme="minorHAnsi"/>
                        </w:rPr>
                        <m:t>Q</m:t>
                      </m:r>
                      <m:ctrlPr>
                        <w:rPr>
                          <w:rFonts w:ascii="Cambria Math" w:hAnsi="Cambria Math" w:cstheme="minorHAnsi"/>
                          <w:bCs/>
                        </w:rPr>
                      </m:ctrlPr>
                    </m:e>
                    <m:sub>
                      <m:r>
                        <m:rPr/>
                        <w:rPr>
                          <w:rFonts w:ascii="Cambria Math" w:hAnsi="Cambria Math" w:cstheme="minorHAnsi"/>
                        </w:rPr>
                        <m:t>n</m:t>
                      </m:r>
                      <m:ctrlPr>
                        <w:rPr>
                          <w:rFonts w:ascii="Cambria Math" w:hAnsi="Cambria Math" w:cstheme="minorHAnsi"/>
                          <w:bCs/>
                        </w:rPr>
                      </m:ctrlPr>
                    </m:sub>
                  </m:sSub>
                  <m:r>
                    <m:rPr>
                      <m:sty m:val="p"/>
                    </m:rPr>
                    <w:rPr>
                      <w:rFonts w:ascii="Cambria Math" w:hAnsi="Cambria Math" w:cstheme="minorHAnsi"/>
                    </w:rPr>
                    <m:t>+ Δ</m:t>
                  </m:r>
                  <m:r>
                    <m:rPr/>
                    <w:rPr>
                      <w:rFonts w:ascii="Cambria Math" w:hAnsi="Cambria Math" w:cstheme="minorHAnsi"/>
                    </w:rPr>
                    <m:t>Qn</m:t>
                  </m:r>
                  <m:r>
                    <m:rPr>
                      <m:sty m:val="p"/>
                    </m:rPr>
                    <w:rPr>
                      <w:rFonts w:ascii="Cambria Math" w:hAnsi="Cambria Math" w:cstheme="minorHAnsi"/>
                    </w:rPr>
                    <m:t>(</m:t>
                  </m:r>
                  <m:sSub>
                    <m:sSubPr>
                      <m:ctrlPr>
                        <w:rPr>
                          <w:rFonts w:ascii="Cambria Math" w:hAnsi="Cambria Math" w:cstheme="minorHAnsi"/>
                          <w:bCs/>
                        </w:rPr>
                      </m:ctrlPr>
                    </m:sSubPr>
                    <m:e>
                      <m:r>
                        <m:rPr/>
                        <w:rPr>
                          <w:rFonts w:ascii="Cambria Math" w:hAnsi="Cambria Math" w:cstheme="minorHAnsi"/>
                        </w:rPr>
                        <m:t>I</m:t>
                      </m:r>
                      <m:ctrlPr>
                        <w:rPr>
                          <w:rFonts w:ascii="Cambria Math" w:hAnsi="Cambria Math" w:cstheme="minorHAnsi"/>
                          <w:bCs/>
                        </w:rPr>
                      </m:ctrlPr>
                    </m:e>
                    <m:sub>
                      <m:r>
                        <m:rPr/>
                        <w:rPr>
                          <w:rFonts w:ascii="Cambria Math" w:hAnsi="Cambria Math" w:cstheme="minorHAnsi"/>
                        </w:rPr>
                        <m:t>x</m:t>
                      </m:r>
                      <m:ctrlPr>
                        <w:rPr>
                          <w:rFonts w:ascii="Cambria Math" w:hAnsi="Cambria Math" w:cstheme="minorHAnsi"/>
                          <w:bCs/>
                        </w:rPr>
                      </m:ctrlPr>
                    </m:sub>
                  </m:sSub>
                  <m:r>
                    <m:rPr>
                      <m:sty m:val="p"/>
                    </m:rPr>
                    <w:rPr>
                      <w:rFonts w:ascii="Cambria Math" w:hAnsi="Cambria Math" w:cstheme="minorHAnsi"/>
                    </w:rPr>
                    <m:t>)</m:t>
                  </m:r>
                  <m:ctrlPr>
                    <w:rPr>
                      <w:rFonts w:ascii="Cambria Math" w:hAnsi="Cambria Math" w:cstheme="minorHAnsi"/>
                      <w:bCs/>
                    </w:rPr>
                  </m:ctrlPr>
                </m:den>
              </m:f>
            </m:oMath>
          </w:p>
        </w:tc>
      </w:tr>
    </w:tbl>
    <w:p>
      <w:pPr>
        <w:rPr>
          <w:b/>
          <w:bCs/>
          <w:lang w:eastAsia="zh-CN"/>
        </w:rPr>
      </w:pPr>
    </w:p>
    <w:p>
      <w:pPr>
        <w:rPr>
          <w:lang w:val="en-US" w:eastAsia="zh-CN"/>
        </w:rPr>
      </w:pPr>
      <w:r>
        <w:rPr>
          <w:b/>
          <w:i/>
          <w:u w:val="single"/>
        </w:rPr>
        <w:t>Proposal 6:</w:t>
      </w:r>
      <w:r>
        <w:rPr>
          <w:b/>
          <w:i/>
          <w:u w:val="single"/>
          <w:lang w:eastAsia="zh-CN"/>
        </w:rPr>
        <w:t xml:space="preserve"> </w:t>
      </w:r>
      <w:r>
        <w:rPr>
          <w:lang w:eastAsia="zh-CN"/>
        </w:rPr>
        <w:t>Inter-UE CLI measurement outside DL subband should be supported to</w:t>
      </w:r>
      <w:r>
        <w:rPr>
          <w:lang w:val="en-US" w:eastAsia="zh-CN"/>
        </w:rPr>
        <w:t xml:space="preserve"> </w:t>
      </w:r>
      <w:r>
        <w:t xml:space="preserve">enable </w:t>
      </w:r>
      <w:r>
        <w:rPr>
          <w:rFonts w:eastAsiaTheme="minorEastAsia"/>
          <w:lang w:eastAsia="zh-CN"/>
        </w:rPr>
        <w:t>victim UE to measure RSRP of aggressor UE’s CLI-SRS within UL subband</w:t>
      </w:r>
      <w:r>
        <w:rPr>
          <w:lang w:eastAsia="zh-CN"/>
        </w:rPr>
        <w:t xml:space="preserve"> (i.e., inter-UE inter-subband CLI measurement </w:t>
      </w:r>
      <w:r>
        <w:rPr>
          <w:rFonts w:eastAsiaTheme="minorEastAsia"/>
          <w:lang w:eastAsia="zh-CN"/>
        </w:rPr>
        <w:t>Method#2</w:t>
      </w:r>
      <w:r>
        <w:rPr>
          <w:lang w:val="en-US" w:eastAsia="zh-CN"/>
        </w:rPr>
        <w:t>).</w:t>
      </w:r>
    </w:p>
    <w:p>
      <w:pPr>
        <w:pStyle w:val="134"/>
        <w:numPr>
          <w:ilvl w:val="0"/>
          <w:numId w:val="12"/>
        </w:numPr>
        <w:ind w:leftChars="0"/>
        <w:jc w:val="both"/>
        <w:rPr>
          <w:lang w:val="en-US" w:eastAsia="zh-CN"/>
        </w:rPr>
      </w:pPr>
      <w:r>
        <w:rPr>
          <w:rFonts w:eastAsiaTheme="minorEastAsia"/>
          <w:lang w:val="en-US" w:eastAsia="zh-CN"/>
        </w:rPr>
        <w:t xml:space="preserve">How to </w:t>
      </w:r>
      <w:r>
        <w:rPr>
          <w:rFonts w:eastAsiaTheme="minorEastAsia"/>
          <w:lang w:eastAsia="zh-CN"/>
        </w:rPr>
        <w:t xml:space="preserve">estimate the interference intensity of inter-UE inter-subband CLI from </w:t>
      </w:r>
      <w:r>
        <w:rPr>
          <w:lang w:eastAsia="zh-CN"/>
        </w:rPr>
        <w:t xml:space="preserve">CLI-SRS RSRP can be further studied. The inter-UE </w:t>
      </w:r>
      <w:r>
        <w:rPr>
          <w:rFonts w:eastAsiaTheme="minorEastAsia"/>
          <w:lang w:eastAsia="zh-CN"/>
        </w:rPr>
        <w:t>inter-subband CLI modelling</w:t>
      </w:r>
      <w:r>
        <w:rPr>
          <w:lang w:eastAsia="zh-CN"/>
        </w:rPr>
        <w:t xml:space="preserve"> as well as the blocker model at UE side under discussing in AI 9.3.1 can be considered</w:t>
      </w:r>
      <w:r>
        <w:rPr>
          <w:rFonts w:eastAsiaTheme="minorEastAsia"/>
          <w:lang w:eastAsia="zh-CN"/>
        </w:rPr>
        <w:t xml:space="preserve"> as starting point.</w:t>
      </w:r>
    </w:p>
    <w:bookmarkEnd w:id="10"/>
    <w:p>
      <w:pPr>
        <w:pStyle w:val="2"/>
        <w:jc w:val="both"/>
        <w:rPr>
          <w:rFonts w:ascii="Times New Roman" w:hAnsi="Times New Roman"/>
          <w:lang w:val="en-US" w:eastAsia="zh-CN"/>
        </w:rPr>
      </w:pPr>
      <w:r>
        <w:rPr>
          <w:rFonts w:ascii="Times New Roman" w:hAnsi="Times New Roman"/>
          <w:lang w:val="en-US" w:eastAsia="zh-CN"/>
        </w:rPr>
        <w:t>Subband non-overlapping full duplex scheme</w:t>
      </w:r>
    </w:p>
    <w:p>
      <w:pPr>
        <w:jc w:val="both"/>
        <w:rPr>
          <w:lang w:val="en-US" w:eastAsia="zh-CN"/>
        </w:rPr>
      </w:pPr>
      <w:r>
        <w:rPr>
          <w:lang w:val="en-US" w:eastAsia="zh-CN"/>
        </w:rPr>
        <w:t>In this section, some general aspects of SFBD will be discussed, including potential SBFD subband configurations, methods to enable Rel-18 SBFD operation and support the coexistence between SBFD aware UE and non-SBFD aware UE in the same SBFD network.</w:t>
      </w:r>
    </w:p>
    <w:p>
      <w:pPr>
        <w:pStyle w:val="3"/>
        <w:ind w:left="0" w:firstLine="0"/>
        <w:jc w:val="both"/>
        <w:rPr>
          <w:rFonts w:ascii="Times New Roman" w:hAnsi="Times New Roman"/>
          <w:lang w:eastAsia="zh-CN"/>
        </w:rPr>
      </w:pPr>
      <w:r>
        <w:rPr>
          <w:rFonts w:ascii="Times New Roman" w:hAnsi="Times New Roman"/>
          <w:lang w:eastAsia="zh-CN"/>
        </w:rPr>
        <w:t>Subband time-frequency location indication</w:t>
      </w:r>
    </w:p>
    <w:p>
      <w:pPr>
        <w:pStyle w:val="4"/>
        <w:rPr>
          <w:rFonts w:ascii="Times New Roman" w:hAnsi="Times New Roman"/>
          <w:lang w:eastAsia="zh-CN"/>
        </w:rPr>
      </w:pPr>
      <w:r>
        <w:rPr>
          <w:rFonts w:ascii="Times New Roman" w:hAnsi="Times New Roman"/>
          <w:lang w:eastAsia="zh-CN"/>
        </w:rPr>
        <w:t>Time location indication</w:t>
      </w:r>
    </w:p>
    <w:p>
      <w:pPr>
        <w:jc w:val="both"/>
        <w:rPr>
          <w:lang w:val="en-US" w:eastAsia="ko-KR"/>
        </w:rPr>
      </w:pPr>
      <w:r>
        <w:rPr>
          <w:rFonts w:hint="eastAsia"/>
          <w:lang w:eastAsia="zh-CN"/>
        </w:rPr>
        <w:t>I</w:t>
      </w:r>
      <w:r>
        <w:rPr>
          <w:lang w:eastAsia="zh-CN"/>
        </w:rPr>
        <w:t xml:space="preserve">n this section, detailed time location of subbands indication will be discussed based on the RB-set based SBFD operation scheme. </w:t>
      </w:r>
      <w:r>
        <w:rPr>
          <w:lang w:val="en-US" w:eastAsia="ko-KR"/>
        </w:rPr>
        <w:t>For semi-static configuration of subband time locations for SBFD operation, it is agreed that explicit configuration of SBFD subband time locations within a period is the baseline, and there are two remaining issues needs to be further studied.</w:t>
      </w:r>
    </w:p>
    <w:p>
      <w:pPr>
        <w:pStyle w:val="134"/>
        <w:numPr>
          <w:ilvl w:val="0"/>
          <w:numId w:val="15"/>
        </w:numPr>
        <w:ind w:leftChars="0"/>
        <w:rPr>
          <w:b/>
          <w:bCs/>
          <w:i/>
          <w:iCs/>
          <w:u w:val="single"/>
        </w:rPr>
      </w:pPr>
      <w:r>
        <w:rPr>
          <w:b/>
          <w:bCs/>
          <w:i/>
          <w:iCs/>
          <w:u w:val="single"/>
        </w:rPr>
        <w:t xml:space="preserve">Dynamic </w:t>
      </w:r>
      <w:bookmarkStart w:id="11" w:name="_Hlk126916940"/>
      <w:r>
        <w:rPr>
          <w:b/>
          <w:bCs/>
          <w:i/>
          <w:iCs/>
          <w:u w:val="single"/>
        </w:rPr>
        <w:t>indication of time location of UL subband</w:t>
      </w:r>
    </w:p>
    <w:bookmarkEnd w:id="11"/>
    <w:p>
      <w:pPr>
        <w:jc w:val="both"/>
        <w:rPr>
          <w:lang w:eastAsia="zh-CN"/>
        </w:rPr>
      </w:pPr>
      <w:r>
        <w:rPr>
          <w:lang w:eastAsia="zh-CN"/>
        </w:rPr>
        <w:t xml:space="preserve">In realistic network, the ratios of UL and DL traffic are various among different UEs, e.g., </w:t>
      </w:r>
      <w:r>
        <w:rPr>
          <w:rFonts w:eastAsiaTheme="minorEastAsia"/>
          <w:lang w:eastAsia="zh-CN"/>
        </w:rPr>
        <w:t>more UL slots are needed to UE with higher UL data rates requirement</w:t>
      </w:r>
      <w:r>
        <w:rPr>
          <w:lang w:eastAsia="zh-CN"/>
        </w:rPr>
        <w:t xml:space="preserve">. However, the semi-static UL subband time location indication restricts the same resource configuration ration between UL and DL to all UEs in the same network which will causes the un-efficient utilization of resource. Therefore, the UE-specific dynamic indication of time location of UL subband are needed, for example, more slots of UL subband can be configured to UL-heavy UE. The detailed indication signalling can be further studied, e.g., the explicit enable/disable part of UL subband time location on top of semi-static configuration (as shown in </w:t>
      </w:r>
      <w:r>
        <w:rPr>
          <w:lang w:eastAsia="zh-CN"/>
        </w:rPr>
        <w:fldChar w:fldCharType="begin"/>
      </w:r>
      <w:r>
        <w:rPr>
          <w:lang w:eastAsia="zh-CN"/>
        </w:rPr>
        <w:instrText xml:space="preserve"> REF _Ref127106189 \h </w:instrText>
      </w:r>
      <w:r>
        <w:rPr>
          <w:lang w:eastAsia="zh-CN"/>
        </w:rPr>
        <w:fldChar w:fldCharType="separate"/>
      </w:r>
      <w:r>
        <w:rPr>
          <w:b/>
          <w:bCs/>
          <w:lang w:eastAsia="zh-CN"/>
        </w:rPr>
        <w:t>Figure 6</w:t>
      </w:r>
      <w:r>
        <w:rPr>
          <w:lang w:eastAsia="zh-CN"/>
        </w:rPr>
        <w:fldChar w:fldCharType="end"/>
      </w:r>
      <w:r>
        <w:rPr>
          <w:lang w:eastAsia="zh-CN"/>
        </w:rPr>
        <w:t xml:space="preserve">), or the re-configuration of UL subband time location via UE-specific RRC signalling/DCI. Note that for a </w:t>
      </w:r>
      <w:r>
        <w:rPr>
          <w:rFonts w:eastAsiaTheme="minorEastAsia"/>
          <w:lang w:eastAsia="zh-CN"/>
        </w:rPr>
        <w:t xml:space="preserve">symbol overlapped with an enabled part of SBFD subband in time-domain, </w:t>
      </w:r>
      <w:r>
        <w:rPr>
          <w:rFonts w:hint="eastAsia" w:eastAsiaTheme="minorEastAsia"/>
          <w:lang w:eastAsia="zh-CN"/>
        </w:rPr>
        <w:t>it</w:t>
      </w:r>
      <w:r>
        <w:rPr>
          <w:rFonts w:eastAsiaTheme="minorEastAsia"/>
          <w:lang w:eastAsia="zh-CN"/>
        </w:rPr>
        <w:t xml:space="preserve"> is called as enabled SBFD symbol; otherwise, if the symbol is overlapped with a disabled part of SBFD subband in time-domain, or if the symbol is not overlapped with SBFD subband in time-domain, it is a normal DL/UL/flexible symbol as indicated by cell-specific TDD UL/DL configuration.</w:t>
      </w:r>
    </w:p>
    <w:p>
      <w:pPr>
        <w:jc w:val="center"/>
      </w:pPr>
      <w:r>
        <w:object>
          <v:shape id="_x0000_i1025" o:spt="75" type="#_x0000_t75" style="height:183.75pt;width:483.7pt;" o:ole="t" filled="f" o:preferrelative="t" stroked="f" coordsize="21600,21600">
            <v:path/>
            <v:fill on="f" focussize="0,0"/>
            <v:stroke on="f" joinstyle="miter"/>
            <v:imagedata r:id="rId14" o:title=""/>
            <o:lock v:ext="edit" aspectratio="t"/>
            <w10:wrap type="none"/>
            <w10:anchorlock/>
          </v:shape>
          <o:OLEObject Type="Embed" ProgID="Visio.Drawing.15" ShapeID="_x0000_i1025" DrawAspect="Content" ObjectID="_1468075725" r:id="rId13">
            <o:LockedField>false</o:LockedField>
          </o:OLEObject>
        </w:object>
      </w:r>
    </w:p>
    <w:p>
      <w:pPr>
        <w:jc w:val="center"/>
        <w:rPr>
          <w:b/>
          <w:bCs/>
          <w:lang w:eastAsia="zh-CN"/>
        </w:rPr>
      </w:pPr>
      <w:bookmarkStart w:id="12" w:name="_Ref127106189"/>
      <w:r>
        <w:rPr>
          <w:b/>
          <w:bCs/>
          <w:lang w:eastAsia="zh-CN"/>
        </w:rPr>
        <w:t xml:space="preserve">Figure </w:t>
      </w:r>
      <w:bookmarkEnd w:id="12"/>
      <w:r>
        <w:rPr>
          <w:b/>
          <w:bCs/>
          <w:lang w:eastAsia="zh-CN"/>
        </w:rPr>
        <w:t>6. Indication of enable/disable of part of UL subband time location on top of semi-static configuration</w:t>
      </w:r>
    </w:p>
    <w:p>
      <w:pPr>
        <w:jc w:val="both"/>
        <w:rPr>
          <w:lang w:eastAsia="zh-CN"/>
        </w:rPr>
      </w:pPr>
      <w:r>
        <w:rPr>
          <w:b/>
          <w:i/>
          <w:u w:val="single"/>
        </w:rPr>
        <w:t xml:space="preserve">Proposal 7: </w:t>
      </w:r>
      <w:r>
        <w:rPr>
          <w:lang w:eastAsia="zh-CN"/>
        </w:rPr>
        <w:t>In addition to semi-static configuration, the time location of UL subband can be dynamically indicated</w:t>
      </w:r>
      <w:r>
        <w:rPr>
          <w:rFonts w:hint="eastAsia"/>
          <w:lang w:eastAsia="zh-CN"/>
        </w:rPr>
        <w:t>,</w:t>
      </w:r>
      <w:r>
        <w:rPr>
          <w:lang w:eastAsia="zh-CN"/>
        </w:rPr>
        <w:t xml:space="preserve"> the following options can be further studied:</w:t>
      </w:r>
    </w:p>
    <w:p>
      <w:pPr>
        <w:pStyle w:val="134"/>
        <w:numPr>
          <w:ilvl w:val="0"/>
          <w:numId w:val="12"/>
        </w:numPr>
        <w:ind w:leftChars="0"/>
        <w:jc w:val="both"/>
        <w:rPr>
          <w:lang w:eastAsia="zh-CN"/>
        </w:rPr>
      </w:pPr>
      <w:r>
        <w:rPr>
          <w:rFonts w:eastAsiaTheme="minorEastAsia"/>
          <w:lang w:eastAsia="zh-CN"/>
        </w:rPr>
        <w:t xml:space="preserve">Option 1: </w:t>
      </w:r>
      <w:r>
        <w:rPr>
          <w:lang w:eastAsia="zh-CN"/>
        </w:rPr>
        <w:t>Indication for enable/disable of part of UL subband time location on top of semi-static configuration;</w:t>
      </w:r>
    </w:p>
    <w:p>
      <w:pPr>
        <w:pStyle w:val="134"/>
        <w:numPr>
          <w:ilvl w:val="0"/>
          <w:numId w:val="12"/>
        </w:numPr>
        <w:ind w:leftChars="0"/>
        <w:jc w:val="both"/>
        <w:rPr>
          <w:lang w:eastAsia="zh-CN"/>
        </w:rPr>
      </w:pPr>
      <w:r>
        <w:rPr>
          <w:rFonts w:eastAsiaTheme="minorEastAsia"/>
          <w:lang w:eastAsia="zh-CN"/>
        </w:rPr>
        <w:t>Option 2:</w:t>
      </w:r>
      <w:r>
        <w:rPr>
          <w:lang w:eastAsia="zh-CN"/>
        </w:rPr>
        <w:t xml:space="preserve"> Re-configuration of UL subband time location via UE-specific RRC signalling/DCI.</w:t>
      </w:r>
    </w:p>
    <w:p>
      <w:pPr>
        <w:pStyle w:val="134"/>
        <w:ind w:left="420" w:leftChars="0" w:firstLine="0"/>
        <w:jc w:val="both"/>
        <w:rPr>
          <w:lang w:eastAsia="zh-CN"/>
        </w:rPr>
      </w:pPr>
    </w:p>
    <w:p>
      <w:pPr>
        <w:pStyle w:val="134"/>
        <w:numPr>
          <w:ilvl w:val="0"/>
          <w:numId w:val="15"/>
        </w:numPr>
        <w:ind w:leftChars="0"/>
        <w:rPr>
          <w:b/>
          <w:bCs/>
          <w:i/>
          <w:iCs/>
          <w:u w:val="single"/>
        </w:rPr>
      </w:pPr>
      <w:bookmarkStart w:id="13" w:name="_Hlk126848758"/>
      <w:r>
        <w:rPr>
          <w:b/>
          <w:bCs/>
          <w:i/>
          <w:iCs/>
          <w:u w:val="single"/>
        </w:rPr>
        <w:t>UL/DL direction indication of SBFD symbol/slot</w:t>
      </w:r>
    </w:p>
    <w:p>
      <w:pPr>
        <w:jc w:val="both"/>
        <w:rPr>
          <w:rFonts w:eastAsiaTheme="minorEastAsia"/>
          <w:lang w:eastAsia="zh-CN"/>
        </w:rPr>
      </w:pPr>
      <w:r>
        <w:rPr>
          <w:rFonts w:eastAsiaTheme="minorEastAsia"/>
          <w:lang w:eastAsia="zh-CN"/>
        </w:rPr>
        <w:t xml:space="preserve">Another issue is the UL/DL direction indication of SBFD symbol/slot. According to the agreement in RAN1#111 meeting, </w:t>
      </w:r>
      <w:bookmarkEnd w:id="13"/>
      <w:r>
        <w:rPr>
          <w:bCs/>
          <w:iCs/>
          <w:lang w:eastAsia="zh-CN"/>
        </w:rPr>
        <w:t xml:space="preserve">both “D” and “F” symbol can be configured as SBFD symbol as the illustration in </w:t>
      </w:r>
      <w:r>
        <w:rPr>
          <w:bCs/>
          <w:iCs/>
          <w:lang w:eastAsia="zh-CN"/>
        </w:rPr>
        <w:fldChar w:fldCharType="begin"/>
      </w:r>
      <w:r>
        <w:rPr>
          <w:bCs/>
          <w:iCs/>
          <w:lang w:eastAsia="zh-CN"/>
        </w:rPr>
        <w:instrText xml:space="preserve"> REF _Ref127106374 \h </w:instrText>
      </w:r>
      <w:r>
        <w:rPr>
          <w:bCs/>
          <w:iCs/>
          <w:lang w:eastAsia="zh-CN"/>
        </w:rPr>
        <w:fldChar w:fldCharType="separate"/>
      </w:r>
      <w:r>
        <w:rPr>
          <w:b/>
          <w:bCs/>
          <w:lang w:eastAsia="zh-CN"/>
        </w:rPr>
        <w:t>Figure 7</w:t>
      </w:r>
      <w:r>
        <w:rPr>
          <w:bCs/>
          <w:iCs/>
          <w:lang w:eastAsia="zh-CN"/>
        </w:rPr>
        <w:fldChar w:fldCharType="end"/>
      </w:r>
      <w:r>
        <w:rPr>
          <w:bCs/>
          <w:iCs/>
          <w:lang w:eastAsia="zh-CN"/>
        </w:rPr>
        <w:t xml:space="preserve"> with the assumption of two broadcasted TDD frame structure cases, which the first is</w:t>
      </w:r>
      <w:r>
        <w:rPr>
          <w:rFonts w:eastAsiaTheme="minorEastAsia"/>
          <w:lang w:eastAsia="zh-CN"/>
        </w:rPr>
        <w:t xml:space="preserve"> gNB broadcasts </w:t>
      </w:r>
      <w:bookmarkStart w:id="14" w:name="_Hlk118128532"/>
      <w:r>
        <w:rPr>
          <w:rFonts w:eastAsiaTheme="minorEastAsia"/>
          <w:lang w:eastAsia="zh-CN"/>
        </w:rPr>
        <w:t>legacy cell-specific TDD UL/DL configuration with no flexible slot in SIB1</w:t>
      </w:r>
      <w:bookmarkEnd w:id="14"/>
      <w:r>
        <w:rPr>
          <w:rFonts w:eastAsiaTheme="minorEastAsia"/>
          <w:lang w:eastAsia="zh-CN"/>
        </w:rPr>
        <w:t xml:space="preserve">, e.g., DDDSU, </w:t>
      </w:r>
      <w:r>
        <w:rPr>
          <w:bCs/>
          <w:iCs/>
          <w:lang w:eastAsia="zh-CN"/>
        </w:rPr>
        <w:t>t</w:t>
      </w:r>
      <w:r>
        <w:rPr>
          <w:rFonts w:eastAsiaTheme="minorEastAsia"/>
          <w:lang w:eastAsia="zh-CN"/>
        </w:rPr>
        <w:t>o avoid the risk that legacy UEs that do not fully support UL transmission and DL reception in flexible symbols, and the second case is that gNB configures flexible slots in cell-specific TDD configuration. The semi-static indication of time location of UL subband is used to override partial “D” or “F” symbol as SBFD symbol.</w:t>
      </w:r>
    </w:p>
    <w:p>
      <w:pPr>
        <w:jc w:val="center"/>
        <w:rPr>
          <w:bCs/>
          <w:iCs/>
          <w:lang w:eastAsia="zh-CN"/>
        </w:rPr>
      </w:pPr>
      <w:r>
        <w:object>
          <v:shape id="_x0000_i1026" o:spt="75" type="#_x0000_t75" style="height:162.35pt;width:212.1pt;" o:ole="t" filled="f" o:preferrelative="t" stroked="f" coordsize="21600,21600">
            <v:path/>
            <v:fill on="f" focussize="0,0"/>
            <v:stroke on="f" joinstyle="miter"/>
            <v:imagedata r:id="rId16" o:title=""/>
            <o:lock v:ext="edit" aspectratio="t"/>
            <w10:wrap type="none"/>
            <w10:anchorlock/>
          </v:shape>
          <o:OLEObject Type="Embed" ProgID="Visio.Drawing.15" ShapeID="_x0000_i1026" DrawAspect="Content" ObjectID="_1468075726" r:id="rId15">
            <o:LockedField>false</o:LockedField>
          </o:OLEObject>
        </w:object>
      </w:r>
    </w:p>
    <w:p>
      <w:pPr>
        <w:jc w:val="center"/>
        <w:rPr>
          <w:b/>
          <w:bCs/>
          <w:lang w:eastAsia="zh-CN"/>
        </w:rPr>
      </w:pPr>
      <w:bookmarkStart w:id="15" w:name="_Ref127106374"/>
      <w:r>
        <w:rPr>
          <w:b/>
          <w:bCs/>
          <w:lang w:eastAsia="zh-CN"/>
        </w:rPr>
        <w:t xml:space="preserve">Figure </w:t>
      </w:r>
      <w:bookmarkEnd w:id="15"/>
      <w:r>
        <w:rPr>
          <w:b/>
          <w:bCs/>
          <w:lang w:eastAsia="zh-CN"/>
        </w:rPr>
        <w:t xml:space="preserve">7. Semi-static indication of time location of subband </w:t>
      </w:r>
    </w:p>
    <w:p>
      <w:pPr>
        <w:jc w:val="both"/>
        <w:rPr>
          <w:rFonts w:eastAsiaTheme="minorEastAsia"/>
          <w:lang w:eastAsia="zh-CN"/>
        </w:rPr>
      </w:pPr>
      <w:r>
        <w:rPr>
          <w:rFonts w:eastAsiaTheme="minorEastAsia"/>
          <w:lang w:eastAsia="zh-CN"/>
        </w:rPr>
        <w:t>However, the UL/DL direction of a given SBFD symbol/slot is not clear from UE behaviour’s perspective if gNB only configure the time location of UL subband, because both DL reception and UL transmission are allowed on SBFD symbol/slot. Therefore, a further step explicit signalling to indicate whether UE receives DL or transmits UL for a given SBFD symbol/slot is needed.</w:t>
      </w:r>
    </w:p>
    <w:p>
      <w:pPr>
        <w:jc w:val="both"/>
        <w:rPr>
          <w:rFonts w:eastAsiaTheme="minorEastAsia"/>
          <w:lang w:eastAsia="zh-CN"/>
        </w:rPr>
      </w:pPr>
      <w:r>
        <w:rPr>
          <w:rFonts w:eastAsiaTheme="minorEastAsia"/>
          <w:lang w:eastAsia="zh-CN"/>
        </w:rPr>
        <w:t xml:space="preserve">As illustrated in </w:t>
      </w:r>
      <w:r>
        <w:rPr>
          <w:rFonts w:eastAsiaTheme="minorEastAsia"/>
          <w:lang w:eastAsia="zh-CN"/>
        </w:rPr>
        <w:fldChar w:fldCharType="begin"/>
      </w:r>
      <w:r>
        <w:rPr>
          <w:rFonts w:eastAsiaTheme="minorEastAsia"/>
          <w:lang w:eastAsia="zh-CN"/>
        </w:rPr>
        <w:instrText xml:space="preserve"> REF _Ref127106483 \h </w:instrText>
      </w:r>
      <w:r>
        <w:rPr>
          <w:rFonts w:eastAsiaTheme="minorEastAsia"/>
          <w:lang w:eastAsia="zh-CN"/>
        </w:rPr>
        <w:fldChar w:fldCharType="separate"/>
      </w:r>
      <w:r>
        <w:rPr>
          <w:b/>
          <w:bCs/>
          <w:lang w:eastAsia="zh-CN"/>
        </w:rPr>
        <w:t>Figure 8</w:t>
      </w:r>
      <w:r>
        <w:rPr>
          <w:rFonts w:eastAsiaTheme="minorEastAsia"/>
          <w:lang w:eastAsia="zh-CN"/>
        </w:rPr>
        <w:fldChar w:fldCharType="end"/>
      </w:r>
      <w:r>
        <w:rPr>
          <w:rFonts w:eastAsiaTheme="minorEastAsia"/>
          <w:lang w:eastAsia="zh-CN"/>
        </w:rPr>
        <w:t>, from UE’s perspective, the UL/DL direction in symbols/slots overlapped with (enabled) SBFD subband in time-domain can follow the following two steps:</w:t>
      </w:r>
    </w:p>
    <w:p>
      <w:pPr>
        <w:pStyle w:val="134"/>
        <w:numPr>
          <w:ilvl w:val="0"/>
          <w:numId w:val="16"/>
        </w:numPr>
        <w:ind w:leftChars="0"/>
        <w:jc w:val="both"/>
        <w:rPr>
          <w:rFonts w:eastAsiaTheme="minorEastAsia"/>
          <w:lang w:eastAsia="zh-CN"/>
        </w:rPr>
      </w:pPr>
      <w:r>
        <w:rPr>
          <w:rFonts w:eastAsiaTheme="minorEastAsia"/>
          <w:b/>
          <w:bCs/>
          <w:lang w:eastAsia="zh-CN"/>
        </w:rPr>
        <w:t xml:space="preserve">Step 1 (semi-static/dynamic UL subband time location indication): </w:t>
      </w:r>
      <w:bookmarkStart w:id="16" w:name="_Hlk114669278"/>
      <w:r>
        <w:rPr>
          <w:rFonts w:eastAsiaTheme="minorEastAsia"/>
          <w:bCs/>
          <w:lang w:eastAsia="zh-CN"/>
        </w:rPr>
        <w:t xml:space="preserve">The </w:t>
      </w:r>
      <w:r>
        <w:rPr>
          <w:rFonts w:eastAsiaTheme="minorEastAsia"/>
          <w:lang w:eastAsia="zh-CN"/>
        </w:rPr>
        <w:t xml:space="preserve">semi-static/dynamic UL subband time location indication signalling is used to configure the UL subband time location (SBFD symbol time location). This signalling can be cell-specific and the periodicity can be the same as the TDD periodicity configured in cell-specific TDD UL/DL configuration. This signalling can “override” the legacy UL/DL direction determining rule related to cell-specific TDD UL/DL configuration. For example, for a given SBFD symbol which is indicated as DL by cell-specific TDD UL/DL configuration, SBFD aware UE can determine it UL or DL based on the other indications as discussed in Step 2. </w:t>
      </w:r>
      <w:bookmarkEnd w:id="16"/>
    </w:p>
    <w:p>
      <w:pPr>
        <w:pStyle w:val="134"/>
        <w:numPr>
          <w:ilvl w:val="0"/>
          <w:numId w:val="16"/>
        </w:numPr>
        <w:ind w:leftChars="0"/>
        <w:jc w:val="both"/>
        <w:rPr>
          <w:rFonts w:eastAsiaTheme="minorEastAsia"/>
          <w:lang w:eastAsia="zh-CN"/>
        </w:rPr>
      </w:pPr>
      <w:r>
        <w:rPr>
          <w:rFonts w:hint="eastAsia" w:eastAsiaTheme="minorEastAsia"/>
          <w:b/>
          <w:bCs/>
          <w:lang w:eastAsia="zh-CN"/>
        </w:rPr>
        <w:t>S</w:t>
      </w:r>
      <w:r>
        <w:rPr>
          <w:rFonts w:eastAsiaTheme="minorEastAsia"/>
          <w:b/>
          <w:bCs/>
          <w:lang w:eastAsia="zh-CN"/>
        </w:rPr>
        <w:t>tep 2 (UL/DL direction indication):</w:t>
      </w:r>
      <w:r>
        <w:rPr>
          <w:rFonts w:eastAsiaTheme="minorEastAsia"/>
          <w:lang w:eastAsia="zh-CN"/>
        </w:rPr>
        <w:t xml:space="preserve"> For a given SBFD symbol, some legacy signalling (including UE-specific </w:t>
      </w:r>
      <w:r>
        <w:rPr>
          <w:rFonts w:ascii="Times New Roman" w:hAnsi="Times New Roman" w:eastAsiaTheme="minorEastAsia"/>
          <w:lang w:eastAsia="zh-CN"/>
        </w:rPr>
        <w:t xml:space="preserve">TDD config dedicated </w:t>
      </w:r>
      <w:r>
        <w:rPr>
          <w:rFonts w:eastAsiaTheme="minorEastAsia"/>
          <w:lang w:eastAsia="zh-CN"/>
        </w:rPr>
        <w:t>RRC signalling, SFI, and/or scheduling DCI) can be reused to indicate the UL or DL direction.</w:t>
      </w:r>
      <w:r>
        <w:rPr>
          <w:rFonts w:ascii="Times New Roman" w:hAnsi="Times New Roman" w:eastAsiaTheme="minorEastAsia"/>
          <w:lang w:eastAsia="zh-CN"/>
        </w:rPr>
        <w:t xml:space="preserve"> As shown in </w:t>
      </w:r>
      <w:r>
        <w:rPr>
          <w:rFonts w:ascii="Times New Roman" w:hAnsi="Times New Roman" w:eastAsiaTheme="minorEastAsia"/>
          <w:lang w:eastAsia="zh-CN"/>
        </w:rPr>
        <w:fldChar w:fldCharType="begin"/>
      </w:r>
      <w:r>
        <w:rPr>
          <w:rFonts w:ascii="Times New Roman" w:hAnsi="Times New Roman" w:eastAsiaTheme="minorEastAsia"/>
          <w:lang w:eastAsia="zh-CN"/>
        </w:rPr>
        <w:instrText xml:space="preserve"> REF _Ref127106483 \h </w:instrText>
      </w:r>
      <w:r>
        <w:rPr>
          <w:rFonts w:ascii="Times New Roman" w:hAnsi="Times New Roman" w:eastAsiaTheme="minorEastAsia"/>
          <w:lang w:eastAsia="zh-CN"/>
        </w:rPr>
        <w:fldChar w:fldCharType="separate"/>
      </w:r>
      <w:r>
        <w:rPr>
          <w:b/>
          <w:bCs/>
          <w:lang w:eastAsia="zh-CN"/>
        </w:rPr>
        <w:t>Figure 8</w:t>
      </w:r>
      <w:r>
        <w:rPr>
          <w:rFonts w:ascii="Times New Roman" w:hAnsi="Times New Roman" w:eastAsiaTheme="minorEastAsia"/>
          <w:lang w:eastAsia="zh-CN"/>
        </w:rPr>
        <w:fldChar w:fldCharType="end"/>
      </w:r>
      <w:r>
        <w:rPr>
          <w:rFonts w:ascii="Times New Roman" w:hAnsi="Times New Roman" w:eastAsiaTheme="minorEastAsia"/>
          <w:lang w:eastAsia="zh-CN"/>
        </w:rPr>
        <w:t xml:space="preserve"> </w:t>
      </w:r>
      <w:r>
        <w:rPr>
          <w:rFonts w:ascii="Times New Roman" w:hAnsi="Times New Roman" w:eastAsiaTheme="minorEastAsia"/>
          <w:b/>
          <w:bCs/>
          <w:lang w:eastAsia="zh-CN"/>
        </w:rPr>
        <w:t>(B)</w:t>
      </w:r>
      <w:r>
        <w:rPr>
          <w:rFonts w:ascii="Times New Roman" w:hAnsi="Times New Roman" w:eastAsiaTheme="minorEastAsia"/>
          <w:lang w:eastAsia="zh-CN"/>
        </w:rPr>
        <w:t>, the detailed determining rule is similar to using TDD config dedicated RRC signalling/SFI/</w:t>
      </w:r>
      <w:r>
        <w:rPr>
          <w:rFonts w:eastAsiaTheme="minorEastAsia"/>
          <w:lang w:eastAsia="zh-CN"/>
        </w:rPr>
        <w:t xml:space="preserve"> scheduling DCI</w:t>
      </w:r>
      <w:r>
        <w:rPr>
          <w:rFonts w:ascii="Times New Roman" w:hAnsi="Times New Roman" w:eastAsiaTheme="minorEastAsia"/>
          <w:lang w:eastAsia="zh-CN"/>
        </w:rPr>
        <w:t xml:space="preserve"> to override the flexible slots/symbols in current NR design while the only change is to replace flexible slots/symbols as SBFD slots/symbols.</w:t>
      </w:r>
    </w:p>
    <w:p>
      <w:pPr>
        <w:jc w:val="center"/>
      </w:pPr>
      <w:r>
        <w:t xml:space="preserve"> </w:t>
      </w:r>
      <w:r>
        <w:object>
          <v:shape id="_x0000_i1027" o:spt="75" type="#_x0000_t75" style="height:264.1pt;width:481.75pt;" o:ole="t" filled="f" o:preferrelative="t" stroked="f" coordsize="21600,21600">
            <v:path/>
            <v:fill on="f" focussize="0,0"/>
            <v:stroke on="f" joinstyle="miter"/>
            <v:imagedata r:id="rId18" o:title=""/>
            <o:lock v:ext="edit" aspectratio="t"/>
            <w10:wrap type="none"/>
            <w10:anchorlock/>
          </v:shape>
          <o:OLEObject Type="Embed" ProgID="Visio.Drawing.15" ShapeID="_x0000_i1027" DrawAspect="Content" ObjectID="_1468075727" r:id="rId17">
            <o:LockedField>false</o:LockedField>
          </o:OLEObject>
        </w:object>
      </w:r>
    </w:p>
    <w:p>
      <w:pPr>
        <w:jc w:val="center"/>
        <w:rPr>
          <w:rFonts w:eastAsiaTheme="minorEastAsia"/>
          <w:b/>
          <w:bCs/>
          <w:lang w:eastAsia="zh-CN"/>
        </w:rPr>
      </w:pPr>
      <w:r>
        <w:rPr>
          <w:rFonts w:hint="eastAsia" w:eastAsiaTheme="minorEastAsia"/>
          <w:b/>
          <w:bCs/>
          <w:lang w:eastAsia="zh-CN"/>
        </w:rPr>
        <w:t>(</w:t>
      </w:r>
      <w:r>
        <w:rPr>
          <w:rFonts w:eastAsiaTheme="minorEastAsia"/>
          <w:b/>
          <w:bCs/>
          <w:lang w:eastAsia="zh-CN"/>
        </w:rPr>
        <w:t>A)</w:t>
      </w:r>
    </w:p>
    <w:p>
      <w:pPr>
        <w:jc w:val="center"/>
      </w:pPr>
      <w:r>
        <w:object>
          <v:shape id="_x0000_i1028" o:spt="75" type="#_x0000_t75" style="height:174.3pt;width:317.75pt;" o:ole="t" filled="f" o:preferrelative="t" stroked="f" coordsize="21600,21600">
            <v:path/>
            <v:fill on="f" focussize="0,0"/>
            <v:stroke on="f" joinstyle="miter"/>
            <v:imagedata r:id="rId20" o:title=""/>
            <o:lock v:ext="edit" aspectratio="t"/>
            <w10:wrap type="none"/>
            <w10:anchorlock/>
          </v:shape>
          <o:OLEObject Type="Embed" ProgID="Visio.Drawing.15" ShapeID="_x0000_i1028" DrawAspect="Content" ObjectID="_1468075728" r:id="rId19">
            <o:LockedField>false</o:LockedField>
          </o:OLEObject>
        </w:object>
      </w:r>
    </w:p>
    <w:p>
      <w:pPr>
        <w:jc w:val="center"/>
        <w:rPr>
          <w:rFonts w:eastAsiaTheme="minorEastAsia"/>
          <w:b/>
          <w:bCs/>
          <w:lang w:eastAsia="zh-CN"/>
        </w:rPr>
      </w:pPr>
      <w:r>
        <w:rPr>
          <w:rFonts w:hint="eastAsia" w:eastAsiaTheme="minorEastAsia"/>
          <w:b/>
          <w:bCs/>
          <w:lang w:eastAsia="zh-CN"/>
        </w:rPr>
        <w:t>(</w:t>
      </w:r>
      <w:r>
        <w:rPr>
          <w:rFonts w:eastAsiaTheme="minorEastAsia"/>
          <w:b/>
          <w:bCs/>
          <w:lang w:eastAsia="zh-CN"/>
        </w:rPr>
        <w:t>B)</w:t>
      </w:r>
    </w:p>
    <w:p>
      <w:pPr>
        <w:jc w:val="center"/>
        <w:rPr>
          <w:b/>
          <w:bCs/>
          <w:lang w:eastAsia="zh-CN"/>
        </w:rPr>
      </w:pPr>
      <w:bookmarkStart w:id="17" w:name="_Ref127106483"/>
      <w:r>
        <w:rPr>
          <w:b/>
          <w:bCs/>
          <w:lang w:eastAsia="zh-CN"/>
        </w:rPr>
        <w:t xml:space="preserve">Figure </w:t>
      </w:r>
      <w:bookmarkEnd w:id="17"/>
      <w:r>
        <w:rPr>
          <w:b/>
          <w:bCs/>
          <w:lang w:eastAsia="zh-CN"/>
        </w:rPr>
        <w:t>8. UL/DL direction determining in SBFD symbol/slot</w:t>
      </w:r>
    </w:p>
    <w:p>
      <w:pPr>
        <w:jc w:val="both"/>
        <w:rPr>
          <w:rFonts w:eastAsiaTheme="minorEastAsia"/>
          <w:lang w:eastAsia="zh-CN"/>
        </w:rPr>
      </w:pPr>
      <w:r>
        <w:rPr>
          <w:b/>
          <w:i/>
          <w:u w:val="single"/>
        </w:rPr>
        <w:t>Proposal 8:</w:t>
      </w:r>
      <w:r>
        <w:t xml:space="preserve"> </w:t>
      </w:r>
      <w:r>
        <w:rPr>
          <w:rFonts w:eastAsiaTheme="minorEastAsia"/>
          <w:lang w:eastAsia="zh-CN"/>
        </w:rPr>
        <w:t>For a SBFD symbol,</w:t>
      </w:r>
      <w:r>
        <w:t xml:space="preserve"> </w:t>
      </w:r>
      <w:r>
        <w:rPr>
          <w:rFonts w:eastAsiaTheme="minorEastAsia"/>
          <w:lang w:eastAsia="zh-CN"/>
        </w:rPr>
        <w:t xml:space="preserve">the DL or UL link direction from </w:t>
      </w:r>
      <w:r>
        <w:rPr>
          <w:lang w:eastAsia="zh-CN"/>
        </w:rPr>
        <w:t xml:space="preserve">SBFD aware </w:t>
      </w:r>
      <w:r>
        <w:rPr>
          <w:rFonts w:eastAsiaTheme="minorEastAsia"/>
          <w:lang w:eastAsia="zh-CN"/>
        </w:rPr>
        <w:t xml:space="preserve">UE’s perspective can be further determined based on </w:t>
      </w:r>
      <w:r>
        <w:t>the legacy</w:t>
      </w:r>
      <w:r>
        <w:rPr>
          <w:rFonts w:eastAsiaTheme="minorEastAsia"/>
          <w:lang w:eastAsia="zh-CN"/>
        </w:rPr>
        <w:t xml:space="preserve"> signalling, such as, UE-specific RRC signalling, SFI, and/or scheduling DCI.</w:t>
      </w:r>
    </w:p>
    <w:p>
      <w:pPr>
        <w:jc w:val="both"/>
        <w:rPr>
          <w:lang w:eastAsia="zh-CN"/>
        </w:rPr>
      </w:pPr>
      <w:r>
        <w:rPr>
          <w:b/>
          <w:i/>
          <w:u w:val="single"/>
        </w:rPr>
        <w:t xml:space="preserve">Proposal 9: </w:t>
      </w:r>
      <w:r>
        <w:rPr>
          <w:lang w:val="en-US" w:eastAsia="ko-KR"/>
        </w:rPr>
        <w:t>The semi-static SBFD subband time locations indication is indicated within a period</w:t>
      </w:r>
      <w:r>
        <w:rPr>
          <w:lang w:eastAsia="zh-CN"/>
        </w:rPr>
        <w:t xml:space="preserve"> equals to the TDD periodicity configured in TDD-UL-DL-ConfigCommon.</w:t>
      </w:r>
    </w:p>
    <w:p>
      <w:pPr>
        <w:pStyle w:val="4"/>
        <w:rPr>
          <w:rFonts w:ascii="Times New Roman" w:hAnsi="Times New Roman"/>
          <w:lang w:eastAsia="zh-CN"/>
        </w:rPr>
      </w:pPr>
      <w:bookmarkStart w:id="18" w:name="_Hlk114145664"/>
      <w:r>
        <w:rPr>
          <w:rFonts w:ascii="Times New Roman" w:hAnsi="Times New Roman"/>
          <w:lang w:eastAsia="zh-CN"/>
        </w:rPr>
        <w:t>Frequency location indication</w:t>
      </w:r>
    </w:p>
    <w:bookmarkEnd w:id="18"/>
    <w:p>
      <w:pPr>
        <w:jc w:val="both"/>
        <w:rPr>
          <w:lang w:eastAsia="zh-CN"/>
        </w:rPr>
      </w:pPr>
      <w:r>
        <w:rPr>
          <w:rFonts w:hint="eastAsia"/>
          <w:lang w:eastAsia="zh-CN"/>
        </w:rPr>
        <w:t>I</w:t>
      </w:r>
      <w:r>
        <w:rPr>
          <w:lang w:eastAsia="zh-CN"/>
        </w:rPr>
        <w:t>n this section, detailed frequency location of subbands indication will be discussed based on the RB-set based SBFD operation scheme as well as the relationship with DL/UL BWP.</w:t>
      </w:r>
    </w:p>
    <w:p>
      <w:pPr>
        <w:jc w:val="both"/>
        <w:rPr>
          <w:bCs/>
          <w:iCs/>
          <w:lang w:eastAsia="zh-CN"/>
        </w:rPr>
      </w:pPr>
      <w:r>
        <w:rPr>
          <w:rFonts w:hint="eastAsia"/>
          <w:lang w:eastAsia="zh-CN"/>
        </w:rPr>
        <w:t>I</w:t>
      </w:r>
      <w:r>
        <w:rPr>
          <w:lang w:eastAsia="zh-CN"/>
        </w:rPr>
        <w:t xml:space="preserve">t was agreed that the explicit indication of frequency location of UL subband is required which </w:t>
      </w:r>
      <w:r>
        <w:rPr>
          <w:rFonts w:eastAsia="Malgun Gothic"/>
        </w:rPr>
        <w:t>with reference to CRB grid</w:t>
      </w:r>
      <w:r>
        <w:rPr>
          <w:lang w:eastAsia="zh-CN"/>
        </w:rPr>
        <w:t>. But from one SBFD aware UE’s perspective, it should always work within its active DL/UL BWP, even the DL/UL BWP’s frequency resource range will not always equal to the UL/DL subband.</w:t>
      </w:r>
    </w:p>
    <w:p>
      <w:pPr>
        <w:jc w:val="both"/>
        <w:rPr>
          <w:rFonts w:eastAsiaTheme="minorEastAsia"/>
          <w:lang w:val="en-US" w:eastAsia="zh-CN"/>
        </w:rPr>
      </w:pPr>
      <w:r>
        <w:rPr>
          <w:lang w:eastAsia="zh-CN"/>
        </w:rPr>
        <w:t xml:space="preserve">Regarding the DL/UL transmission in SBFD slot/symbol, as the illustration in </w:t>
      </w:r>
      <w:r>
        <w:rPr>
          <w:lang w:eastAsia="zh-CN"/>
        </w:rPr>
        <w:fldChar w:fldCharType="begin"/>
      </w:r>
      <w:r>
        <w:rPr>
          <w:lang w:eastAsia="zh-CN"/>
        </w:rPr>
        <w:instrText xml:space="preserve"> REF _Ref127111710 \h </w:instrText>
      </w:r>
      <w:r>
        <w:rPr>
          <w:lang w:eastAsia="zh-CN"/>
        </w:rPr>
        <w:fldChar w:fldCharType="separate"/>
      </w:r>
      <w:r>
        <w:rPr>
          <w:b/>
          <w:bCs/>
          <w:lang w:eastAsia="zh-CN"/>
        </w:rPr>
        <w:t>Figure 9</w:t>
      </w:r>
      <w:r>
        <w:rPr>
          <w:lang w:eastAsia="zh-CN"/>
        </w:rPr>
        <w:fldChar w:fldCharType="end"/>
      </w:r>
      <w:r>
        <w:rPr>
          <w:lang w:eastAsia="zh-CN"/>
        </w:rPr>
        <w:t xml:space="preserve">, </w:t>
      </w:r>
      <w:r>
        <w:rPr>
          <w:rFonts w:eastAsiaTheme="minorEastAsia"/>
          <w:lang w:val="en-US" w:eastAsia="zh-CN"/>
        </w:rPr>
        <w:t xml:space="preserve">the available UL frequency resources in </w:t>
      </w:r>
      <w:r>
        <w:rPr>
          <w:rFonts w:hint="eastAsia" w:eastAsiaTheme="minorEastAsia"/>
          <w:lang w:val="en-US" w:eastAsia="zh-CN"/>
        </w:rPr>
        <w:t>SBFD</w:t>
      </w:r>
      <w:r>
        <w:rPr>
          <w:rFonts w:eastAsiaTheme="minorEastAsia"/>
          <w:lang w:val="en-US" w:eastAsia="zh-CN"/>
        </w:rPr>
        <w:t xml:space="preserve"> </w:t>
      </w:r>
      <w:r>
        <w:rPr>
          <w:rFonts w:hint="eastAsia" w:eastAsiaTheme="minorEastAsia"/>
          <w:lang w:val="en-US" w:eastAsia="zh-CN"/>
        </w:rPr>
        <w:t>sym</w:t>
      </w:r>
      <w:r>
        <w:rPr>
          <w:rFonts w:eastAsiaTheme="minorEastAsia"/>
          <w:lang w:val="en-US" w:eastAsia="zh-CN"/>
        </w:rPr>
        <w:t xml:space="preserve">bols is the intersection set of UL BWP and UL SBFD subband, i.e., available UL frequency resources in </w:t>
      </w:r>
      <w:r>
        <w:rPr>
          <w:rFonts w:hint="eastAsia" w:eastAsiaTheme="minorEastAsia"/>
          <w:lang w:val="en-US" w:eastAsia="zh-CN"/>
        </w:rPr>
        <w:t>SBFD</w:t>
      </w:r>
      <w:r>
        <w:rPr>
          <w:rFonts w:eastAsiaTheme="minorEastAsia"/>
          <w:lang w:val="en-US" w:eastAsia="zh-CN"/>
        </w:rPr>
        <w:t xml:space="preserve"> </w:t>
      </w:r>
      <w:r>
        <w:rPr>
          <w:rFonts w:hint="eastAsia" w:eastAsiaTheme="minorEastAsia"/>
          <w:lang w:val="en-US" w:eastAsia="zh-CN"/>
        </w:rPr>
        <w:t>sym</w:t>
      </w:r>
      <w:r>
        <w:rPr>
          <w:rFonts w:eastAsiaTheme="minorEastAsia"/>
          <w:lang w:val="en-US" w:eastAsia="zh-CN"/>
        </w:rPr>
        <w:t xml:space="preserve">bols = UL BWP </w:t>
      </w:r>
      <m:oMath>
        <m:r>
          <m:rPr>
            <m:sty m:val="p"/>
          </m:rPr>
          <w:rPr>
            <w:rFonts w:ascii="Cambria Math" w:hAnsi="Cambria Math" w:eastAsiaTheme="minorEastAsia"/>
            <w:lang w:val="en-US" w:eastAsia="zh-CN"/>
          </w:rPr>
          <m:t>∩</m:t>
        </m:r>
      </m:oMath>
      <w:r>
        <w:rPr>
          <w:rFonts w:hint="eastAsia" w:eastAsiaTheme="minorEastAsia"/>
          <w:lang w:val="en-US" w:eastAsia="zh-CN"/>
        </w:rPr>
        <w:t xml:space="preserve"> </w:t>
      </w:r>
      <w:r>
        <w:rPr>
          <w:rFonts w:eastAsiaTheme="minorEastAsia"/>
          <w:lang w:val="en-US" w:eastAsia="zh-CN"/>
        </w:rPr>
        <w:t xml:space="preserve">UL SBFD subband, </w:t>
      </w:r>
      <w:r>
        <w:rPr>
          <w:rFonts w:eastAsiaTheme="minorEastAsia"/>
          <w:lang w:eastAsia="zh-CN"/>
        </w:rPr>
        <w:t xml:space="preserve">and the </w:t>
      </w:r>
      <w:r>
        <w:rPr>
          <w:rFonts w:eastAsiaTheme="minorEastAsia"/>
          <w:lang w:val="en-US" w:eastAsia="zh-CN"/>
        </w:rPr>
        <w:t xml:space="preserve">available DL frequency resources in </w:t>
      </w:r>
      <w:r>
        <w:rPr>
          <w:rFonts w:hint="eastAsia" w:eastAsiaTheme="minorEastAsia"/>
          <w:lang w:val="en-US" w:eastAsia="zh-CN"/>
        </w:rPr>
        <w:t>SBFD</w:t>
      </w:r>
      <w:r>
        <w:rPr>
          <w:rFonts w:eastAsiaTheme="minorEastAsia"/>
          <w:lang w:val="en-US" w:eastAsia="zh-CN"/>
        </w:rPr>
        <w:t xml:space="preserve"> </w:t>
      </w:r>
      <w:r>
        <w:rPr>
          <w:rFonts w:hint="eastAsia" w:eastAsiaTheme="minorEastAsia"/>
          <w:lang w:val="en-US" w:eastAsia="zh-CN"/>
        </w:rPr>
        <w:t>sym</w:t>
      </w:r>
      <w:r>
        <w:rPr>
          <w:rFonts w:eastAsiaTheme="minorEastAsia"/>
          <w:lang w:val="en-US" w:eastAsia="zh-CN"/>
        </w:rPr>
        <w:t xml:space="preserve">bols is the difference set between DL BWP and UL SBFD subband, i.e., available DL frequency resources in </w:t>
      </w:r>
      <w:r>
        <w:rPr>
          <w:rFonts w:hint="eastAsia" w:eastAsiaTheme="minorEastAsia"/>
          <w:lang w:val="en-US" w:eastAsia="zh-CN"/>
        </w:rPr>
        <w:t>SBFD</w:t>
      </w:r>
      <w:r>
        <w:rPr>
          <w:rFonts w:eastAsiaTheme="minorEastAsia"/>
          <w:lang w:val="en-US" w:eastAsia="zh-CN"/>
        </w:rPr>
        <w:t xml:space="preserve"> </w:t>
      </w:r>
      <w:r>
        <w:rPr>
          <w:rFonts w:hint="eastAsia" w:eastAsiaTheme="minorEastAsia"/>
          <w:lang w:val="en-US" w:eastAsia="zh-CN"/>
        </w:rPr>
        <w:t>sym</w:t>
      </w:r>
      <w:r>
        <w:rPr>
          <w:rFonts w:eastAsiaTheme="minorEastAsia"/>
          <w:lang w:val="en-US" w:eastAsia="zh-CN"/>
        </w:rPr>
        <w:t xml:space="preserve">bols = DL BWP </w:t>
      </w:r>
      <m:oMath>
        <m:r>
          <m:rPr>
            <m:sty m:val="p"/>
          </m:rPr>
          <w:rPr>
            <w:rFonts w:ascii="Cambria Math" w:hAnsi="Cambria Math" w:eastAsiaTheme="minorEastAsia"/>
            <w:lang w:val="en-US" w:eastAsia="zh-CN"/>
          </w:rPr>
          <m:t>−</m:t>
        </m:r>
      </m:oMath>
      <w:r>
        <w:rPr>
          <w:rFonts w:hint="eastAsia" w:eastAsiaTheme="minorEastAsia"/>
          <w:lang w:val="en-US" w:eastAsia="zh-CN"/>
        </w:rPr>
        <w:t xml:space="preserve"> </w:t>
      </w:r>
      <w:r>
        <w:rPr>
          <w:rFonts w:eastAsiaTheme="minorEastAsia"/>
          <w:lang w:val="en-US" w:eastAsia="zh-CN"/>
        </w:rPr>
        <w:t>UL SBFD subband</w:t>
      </w:r>
    </w:p>
    <w:p>
      <w:pPr>
        <w:jc w:val="both"/>
        <w:rPr>
          <w:rFonts w:eastAsiaTheme="minorEastAsia"/>
          <w:lang w:val="en-US" w:eastAsia="zh-CN"/>
        </w:rPr>
      </w:pPr>
      <w:r>
        <w:rPr>
          <w:rFonts w:eastAsiaTheme="minorEastAsia"/>
          <w:lang w:val="en-US" w:eastAsia="zh-CN"/>
        </w:rPr>
        <w:t xml:space="preserve">Therefore, UL </w:t>
      </w:r>
      <w:r>
        <w:rPr>
          <w:lang w:eastAsia="zh-CN"/>
        </w:rPr>
        <w:t xml:space="preserve">BWP switching is not needed for UE to switch between SBFD slots and fixed UL slots. Besides, </w:t>
      </w:r>
      <w:r>
        <w:rPr>
          <w:rFonts w:eastAsiaTheme="minorEastAsia"/>
          <w:lang w:val="en-US" w:eastAsia="zh-CN"/>
        </w:rPr>
        <w:t xml:space="preserve">additional PUCCH/SRS/power control parameters configurations can be configured for the SBFD frequency </w:t>
      </w:r>
      <w:r>
        <w:rPr>
          <w:rFonts w:eastAsiaTheme="minorEastAsia"/>
          <w:lang w:eastAsia="zh-CN"/>
        </w:rPr>
        <w:t>region</w:t>
      </w:r>
      <w:r>
        <w:rPr>
          <w:rFonts w:eastAsiaTheme="minorEastAsia"/>
          <w:lang w:val="en-US" w:eastAsia="zh-CN"/>
        </w:rPr>
        <w:t xml:space="preserve"> to increase the flexibility of the configuration/usage for </w:t>
      </w:r>
      <w:r>
        <w:rPr>
          <w:rFonts w:eastAsiaTheme="minorEastAsia"/>
          <w:lang w:eastAsia="zh-CN"/>
        </w:rPr>
        <w:t>PUCCH/SRS/power control</w:t>
      </w:r>
      <w:r>
        <w:rPr>
          <w:rFonts w:eastAsiaTheme="minorEastAsia"/>
          <w:lang w:val="en-US" w:eastAsia="zh-CN"/>
        </w:rPr>
        <w:t xml:space="preserve">, e.g., separate PUCCH resource sets can be configured for the SBFD frequency </w:t>
      </w:r>
      <w:r>
        <w:rPr>
          <w:rFonts w:eastAsiaTheme="minorEastAsia"/>
          <w:lang w:eastAsia="zh-CN"/>
        </w:rPr>
        <w:t>region</w:t>
      </w:r>
      <w:r>
        <w:rPr>
          <w:rFonts w:eastAsiaTheme="minorEastAsia"/>
          <w:lang w:val="en-US" w:eastAsia="zh-CN"/>
        </w:rPr>
        <w:t xml:space="preserve"> in SBFD symbols and the whole UL BWP in fixed UL slots. </w:t>
      </w:r>
    </w:p>
    <w:p>
      <w:pPr>
        <w:jc w:val="both"/>
        <w:rPr>
          <w:rFonts w:eastAsiaTheme="minorEastAsia"/>
          <w:lang w:val="en-US" w:eastAsia="zh-CN"/>
        </w:rPr>
      </w:pPr>
      <w:r>
        <w:rPr>
          <w:lang w:eastAsia="zh-CN"/>
        </w:rPr>
        <w:t xml:space="preserve">Similarly, </w:t>
      </w:r>
      <w:r>
        <w:rPr>
          <w:rFonts w:eastAsiaTheme="minorEastAsia"/>
          <w:lang w:val="en-US" w:eastAsia="zh-CN"/>
        </w:rPr>
        <w:t xml:space="preserve">DL </w:t>
      </w:r>
      <w:r>
        <w:rPr>
          <w:lang w:eastAsia="zh-CN"/>
        </w:rPr>
        <w:t xml:space="preserve">BWP switching is also not needed for UE to switch between SBFD slots and fixed DL slots. As shown in </w:t>
      </w:r>
      <w:r>
        <w:rPr>
          <w:lang w:eastAsia="zh-CN"/>
        </w:rPr>
        <w:fldChar w:fldCharType="begin"/>
      </w:r>
      <w:r>
        <w:rPr>
          <w:lang w:eastAsia="zh-CN"/>
        </w:rPr>
        <w:instrText xml:space="preserve"> REF _Ref127111710 \h </w:instrText>
      </w:r>
      <w:r>
        <w:rPr>
          <w:lang w:eastAsia="zh-CN"/>
        </w:rPr>
        <w:fldChar w:fldCharType="separate"/>
      </w:r>
      <w:r>
        <w:rPr>
          <w:b/>
          <w:bCs/>
          <w:lang w:eastAsia="zh-CN"/>
        </w:rPr>
        <w:t>Figure 9</w:t>
      </w:r>
      <w:r>
        <w:rPr>
          <w:lang w:eastAsia="zh-CN"/>
        </w:rPr>
        <w:fldChar w:fldCharType="end"/>
      </w:r>
      <w:r>
        <w:rPr>
          <w:lang w:eastAsia="zh-CN"/>
        </w:rPr>
        <w:t xml:space="preserve">, </w:t>
      </w:r>
      <w:r>
        <w:rPr>
          <w:rFonts w:eastAsiaTheme="minorEastAsia"/>
          <w:lang w:val="en-US" w:eastAsia="zh-CN"/>
        </w:rPr>
        <w:t xml:space="preserve">the </w:t>
      </w:r>
      <w:r>
        <w:rPr>
          <w:rFonts w:eastAsiaTheme="minorEastAsia"/>
          <w:lang w:eastAsia="zh-CN"/>
        </w:rPr>
        <w:t>UL subband</w:t>
      </w:r>
      <w:r>
        <w:rPr>
          <w:rFonts w:eastAsiaTheme="minorEastAsia"/>
          <w:lang w:val="en-US" w:eastAsia="zh-CN"/>
        </w:rPr>
        <w:t xml:space="preserve"> can be treated as common rate-matching pattern or unavailable resource location information for DL channels/signals. Furthermore, there seems no need to explicitly configure/indicate the DL subband to SBFD aware UE. The only thing needed is how to indicate UE to avoid the UL subband region in DL reception and the detailed design for DL resource allocation enhancement will be discussed in section 3.2.1. </w:t>
      </w:r>
    </w:p>
    <w:p>
      <w:pPr>
        <w:pStyle w:val="134"/>
        <w:ind w:left="420" w:leftChars="0" w:firstLine="0"/>
        <w:jc w:val="both"/>
        <w:rPr>
          <w:rFonts w:eastAsiaTheme="minorEastAsia"/>
          <w:lang w:val="en-US" w:eastAsia="zh-CN"/>
        </w:rPr>
      </w:pPr>
    </w:p>
    <w:p>
      <w:pPr>
        <w:jc w:val="center"/>
      </w:pPr>
      <w:r>
        <w:object>
          <v:shape id="_x0000_i1029" o:spt="75" type="#_x0000_t75" style="height:132.05pt;width:471.2pt;" o:ole="t" filled="f" o:preferrelative="t" stroked="f" coordsize="21600,21600">
            <v:path/>
            <v:fill on="f" focussize="0,0"/>
            <v:stroke on="f" joinstyle="miter"/>
            <v:imagedata r:id="rId22" o:title=""/>
            <o:lock v:ext="edit" aspectratio="t"/>
            <w10:wrap type="none"/>
            <w10:anchorlock/>
          </v:shape>
          <o:OLEObject Type="Embed" ProgID="Visio.Drawing.15" ShapeID="_x0000_i1029" DrawAspect="Content" ObjectID="_1468075729" r:id="rId21">
            <o:LockedField>false</o:LockedField>
          </o:OLEObject>
        </w:object>
      </w:r>
    </w:p>
    <w:p>
      <w:pPr>
        <w:jc w:val="center"/>
        <w:rPr>
          <w:b/>
          <w:bCs/>
          <w:lang w:eastAsia="zh-CN"/>
        </w:rPr>
      </w:pPr>
      <w:r>
        <w:rPr>
          <w:b/>
          <w:bCs/>
          <w:lang w:eastAsia="zh-CN"/>
        </w:rPr>
        <w:t xml:space="preserve">Case 1: </w:t>
      </w:r>
      <w:r>
        <w:rPr>
          <w:rFonts w:hint="eastAsia"/>
          <w:b/>
          <w:bCs/>
          <w:lang w:eastAsia="zh-CN"/>
        </w:rPr>
        <w:t>{</w:t>
      </w:r>
      <w:r>
        <w:rPr>
          <w:b/>
          <w:bCs/>
          <w:lang w:eastAsia="zh-CN"/>
        </w:rPr>
        <w:t>DUD} SBFD subband configuration</w:t>
      </w:r>
    </w:p>
    <w:p>
      <w:pPr>
        <w:jc w:val="center"/>
      </w:pPr>
      <w:r>
        <w:t xml:space="preserve"> </w:t>
      </w:r>
      <w:r>
        <w:object>
          <v:shape id="_x0000_i1030" o:spt="75" type="#_x0000_t75" style="height:112.85pt;width:481.5pt;" o:ole="t" filled="f" o:preferrelative="t" stroked="f" coordsize="21600,21600">
            <v:path/>
            <v:fill on="f" focussize="0,0"/>
            <v:stroke on="f" joinstyle="miter"/>
            <v:imagedata r:id="rId24" o:title=""/>
            <o:lock v:ext="edit" aspectratio="t"/>
            <w10:wrap type="none"/>
            <w10:anchorlock/>
          </v:shape>
          <o:OLEObject Type="Embed" ProgID="Visio.Drawing.15" ShapeID="_x0000_i1030" DrawAspect="Content" ObjectID="_1468075730" r:id="rId23">
            <o:LockedField>false</o:LockedField>
          </o:OLEObject>
        </w:object>
      </w:r>
    </w:p>
    <w:p>
      <w:pPr>
        <w:jc w:val="center"/>
        <w:rPr>
          <w:b/>
          <w:bCs/>
          <w:lang w:eastAsia="zh-CN"/>
        </w:rPr>
      </w:pPr>
      <w:r>
        <w:rPr>
          <w:rFonts w:hint="eastAsia"/>
          <w:b/>
          <w:bCs/>
          <w:lang w:eastAsia="zh-CN"/>
        </w:rPr>
        <w:t>C</w:t>
      </w:r>
      <w:r>
        <w:rPr>
          <w:b/>
          <w:bCs/>
          <w:lang w:eastAsia="zh-CN"/>
        </w:rPr>
        <w:t>ase 2: {DU} SBFD subband configuration</w:t>
      </w:r>
    </w:p>
    <w:p>
      <w:pPr>
        <w:jc w:val="center"/>
        <w:rPr>
          <w:b/>
          <w:bCs/>
          <w:lang w:eastAsia="zh-CN"/>
        </w:rPr>
      </w:pPr>
      <w:bookmarkStart w:id="19" w:name="_Ref127111710"/>
      <w:r>
        <w:rPr>
          <w:b/>
          <w:bCs/>
          <w:lang w:eastAsia="zh-CN"/>
        </w:rPr>
        <w:t xml:space="preserve">Figure </w:t>
      </w:r>
      <w:bookmarkEnd w:id="19"/>
      <w:r>
        <w:rPr>
          <w:b/>
          <w:bCs/>
          <w:lang w:eastAsia="zh-CN"/>
        </w:rPr>
        <w:t>9</w:t>
      </w:r>
      <w:r>
        <w:rPr>
          <w:b/>
        </w:rPr>
        <w:t>. Available f</w:t>
      </w:r>
      <w:r>
        <w:rPr>
          <w:b/>
          <w:bCs/>
          <w:lang w:eastAsia="zh-CN"/>
        </w:rPr>
        <w:t>requency resources determining in SBFD symbol/slot</w:t>
      </w:r>
    </w:p>
    <w:p>
      <w:pPr>
        <w:jc w:val="both"/>
        <w:rPr>
          <w:rFonts w:ascii="Times" w:hAnsi="Times" w:eastAsiaTheme="minorEastAsia"/>
          <w:szCs w:val="24"/>
          <w:lang w:eastAsia="zh-CN"/>
        </w:rPr>
      </w:pPr>
      <w:r>
        <w:rPr>
          <w:rFonts w:ascii="Times" w:hAnsi="Times" w:eastAsia="Batang"/>
          <w:szCs w:val="24"/>
          <w:lang w:eastAsia="zh-CN"/>
        </w:rPr>
        <w:t xml:space="preserve">In a summary, the above UL/DL subband definition method is used to restrict the UL/DL behaviour within UE’s active UL/DL BWP without defining additional UL/DL BWP to avoid the BWP switching delay and applied to both </w:t>
      </w:r>
      <w:r>
        <w:rPr>
          <w:rFonts w:hint="eastAsia" w:ascii="Times" w:hAnsi="Times" w:eastAsia="Batang"/>
          <w:szCs w:val="24"/>
          <w:lang w:eastAsia="zh-CN"/>
        </w:rPr>
        <w:t>{</w:t>
      </w:r>
      <w:r>
        <w:rPr>
          <w:rFonts w:ascii="Times" w:hAnsi="Times" w:eastAsia="Batang"/>
          <w:szCs w:val="24"/>
          <w:lang w:eastAsia="zh-CN"/>
        </w:rPr>
        <w:t>DUD</w:t>
      </w:r>
      <w:r>
        <w:rPr>
          <w:rFonts w:hint="eastAsia" w:ascii="Times" w:hAnsi="Times" w:eastAsia="Batang"/>
          <w:szCs w:val="24"/>
          <w:lang w:eastAsia="zh-CN"/>
        </w:rPr>
        <w:t>}</w:t>
      </w:r>
      <w:r>
        <w:rPr>
          <w:rFonts w:ascii="Times" w:hAnsi="Times" w:eastAsia="Batang"/>
          <w:szCs w:val="24"/>
          <w:lang w:eastAsia="zh-CN"/>
        </w:rPr>
        <w:t xml:space="preserve"> </w:t>
      </w:r>
      <w:r>
        <w:rPr>
          <w:rFonts w:hint="eastAsia" w:ascii="Times" w:hAnsi="Times" w:eastAsia="Batang"/>
          <w:szCs w:val="24"/>
          <w:lang w:eastAsia="zh-CN"/>
        </w:rPr>
        <w:t>and</w:t>
      </w:r>
      <w:r>
        <w:rPr>
          <w:rFonts w:ascii="Times" w:hAnsi="Times" w:eastAsia="Batang"/>
          <w:szCs w:val="24"/>
          <w:lang w:eastAsia="zh-CN"/>
        </w:rPr>
        <w:t xml:space="preserve"> </w:t>
      </w:r>
      <w:r>
        <w:rPr>
          <w:rFonts w:hint="eastAsia" w:ascii="Times" w:hAnsi="Times" w:eastAsia="Batang"/>
          <w:szCs w:val="24"/>
          <w:lang w:eastAsia="zh-CN"/>
        </w:rPr>
        <w:t>{</w:t>
      </w:r>
      <w:r>
        <w:rPr>
          <w:rFonts w:ascii="Times" w:hAnsi="Times" w:eastAsia="Batang"/>
          <w:szCs w:val="24"/>
          <w:lang w:eastAsia="zh-CN"/>
        </w:rPr>
        <w:t>DU</w:t>
      </w:r>
      <w:r>
        <w:rPr>
          <w:rFonts w:hint="eastAsia" w:ascii="Times" w:hAnsi="Times" w:eastAsia="Batang"/>
          <w:szCs w:val="24"/>
          <w:lang w:eastAsia="zh-CN"/>
        </w:rPr>
        <w:t>}</w:t>
      </w:r>
      <w:r>
        <w:rPr>
          <w:rFonts w:ascii="Times" w:hAnsi="Times" w:eastAsia="Batang"/>
          <w:szCs w:val="24"/>
          <w:lang w:eastAsia="zh-CN"/>
        </w:rPr>
        <w:t xml:space="preserve"> SBFD </w:t>
      </w:r>
      <w:r>
        <w:rPr>
          <w:rFonts w:hint="eastAsia" w:ascii="Times" w:hAnsi="Times" w:eastAsia="Batang"/>
          <w:szCs w:val="24"/>
          <w:lang w:eastAsia="zh-CN"/>
        </w:rPr>
        <w:t>subband</w:t>
      </w:r>
      <w:r>
        <w:rPr>
          <w:rFonts w:ascii="Times" w:hAnsi="Times" w:eastAsia="Batang"/>
          <w:szCs w:val="24"/>
          <w:lang w:eastAsia="zh-CN"/>
        </w:rPr>
        <w:t xml:space="preserve"> </w:t>
      </w:r>
      <w:r>
        <w:rPr>
          <w:rFonts w:hint="eastAsia" w:ascii="Times" w:hAnsi="Times" w:eastAsia="Batang"/>
          <w:szCs w:val="24"/>
          <w:lang w:eastAsia="zh-CN"/>
        </w:rPr>
        <w:t>configuration</w:t>
      </w:r>
      <w:r>
        <w:rPr>
          <w:rFonts w:ascii="Times" w:hAnsi="Times" w:eastAsia="Batang"/>
          <w:szCs w:val="24"/>
          <w:lang w:eastAsia="zh-CN"/>
        </w:rPr>
        <w:t>s. In addition, this method can also avoid to define UL/DL BWP pair with unaligned centre frequency in {DU} SBFD subband configuration case.</w:t>
      </w:r>
    </w:p>
    <w:p>
      <w:pPr>
        <w:jc w:val="both"/>
        <w:rPr>
          <w:rFonts w:eastAsiaTheme="minorEastAsia"/>
          <w:lang w:val="en-US" w:eastAsia="zh-CN"/>
        </w:rPr>
      </w:pPr>
      <w:r>
        <w:rPr>
          <w:b/>
          <w:i/>
          <w:u w:val="single"/>
        </w:rPr>
        <w:t>Proposal 10</w:t>
      </w:r>
      <w:r>
        <w:rPr>
          <w:b/>
          <w:i/>
          <w:u w:val="single"/>
          <w:lang w:eastAsia="zh-CN"/>
        </w:rPr>
        <w:t xml:space="preserve">: </w:t>
      </w:r>
      <w:r>
        <w:rPr>
          <w:rFonts w:eastAsiaTheme="minorEastAsia"/>
          <w:lang w:eastAsia="zh-CN"/>
        </w:rPr>
        <w:t xml:space="preserve">For SBFD aware UE’s UL transmission, </w:t>
      </w:r>
      <w:r>
        <w:rPr>
          <w:rFonts w:eastAsiaTheme="minorEastAsia"/>
          <w:lang w:val="en-US" w:eastAsia="zh-CN"/>
        </w:rPr>
        <w:t xml:space="preserve">the available UL frequency resources in </w:t>
      </w:r>
      <w:r>
        <w:rPr>
          <w:rFonts w:hint="eastAsia" w:eastAsiaTheme="minorEastAsia"/>
          <w:lang w:val="en-US" w:eastAsia="zh-CN"/>
        </w:rPr>
        <w:t>SBFD</w:t>
      </w:r>
      <w:r>
        <w:rPr>
          <w:rFonts w:eastAsiaTheme="minorEastAsia"/>
          <w:lang w:val="en-US" w:eastAsia="zh-CN"/>
        </w:rPr>
        <w:t xml:space="preserve"> </w:t>
      </w:r>
      <w:r>
        <w:rPr>
          <w:rFonts w:hint="eastAsia" w:eastAsiaTheme="minorEastAsia"/>
          <w:lang w:val="en-US" w:eastAsia="zh-CN"/>
        </w:rPr>
        <w:t>sym</w:t>
      </w:r>
      <w:r>
        <w:rPr>
          <w:rFonts w:eastAsiaTheme="minorEastAsia"/>
          <w:lang w:val="en-US" w:eastAsia="zh-CN"/>
        </w:rPr>
        <w:t xml:space="preserve">bols is the intersection set of UL BWP and UL SBFD subband, i.e., available UL frequency resources in </w:t>
      </w:r>
      <w:r>
        <w:rPr>
          <w:rFonts w:hint="eastAsia" w:eastAsiaTheme="minorEastAsia"/>
          <w:lang w:val="en-US" w:eastAsia="zh-CN"/>
        </w:rPr>
        <w:t>SBFD</w:t>
      </w:r>
      <w:r>
        <w:rPr>
          <w:rFonts w:eastAsiaTheme="minorEastAsia"/>
          <w:lang w:val="en-US" w:eastAsia="zh-CN"/>
        </w:rPr>
        <w:t xml:space="preserve"> </w:t>
      </w:r>
      <w:r>
        <w:rPr>
          <w:rFonts w:hint="eastAsia" w:eastAsiaTheme="minorEastAsia"/>
          <w:lang w:val="en-US" w:eastAsia="zh-CN"/>
        </w:rPr>
        <w:t>sym</w:t>
      </w:r>
      <w:r>
        <w:rPr>
          <w:rFonts w:eastAsiaTheme="minorEastAsia"/>
          <w:lang w:val="en-US" w:eastAsia="zh-CN"/>
        </w:rPr>
        <w:t xml:space="preserve">bols = UL BWP </w:t>
      </w:r>
      <m:oMath>
        <m:r>
          <m:rPr>
            <m:sty m:val="p"/>
          </m:rPr>
          <w:rPr>
            <w:rFonts w:ascii="Cambria Math" w:hAnsi="Cambria Math" w:eastAsiaTheme="minorEastAsia"/>
            <w:lang w:val="en-US" w:eastAsia="zh-CN"/>
          </w:rPr>
          <m:t>∩</m:t>
        </m:r>
      </m:oMath>
      <w:r>
        <w:rPr>
          <w:rFonts w:hint="eastAsia" w:eastAsiaTheme="minorEastAsia"/>
          <w:lang w:val="en-US" w:eastAsia="zh-CN"/>
        </w:rPr>
        <w:t xml:space="preserve"> </w:t>
      </w:r>
      <w:r>
        <w:rPr>
          <w:rFonts w:eastAsiaTheme="minorEastAsia"/>
          <w:lang w:val="en-US" w:eastAsia="zh-CN"/>
        </w:rPr>
        <w:t>UL SBFD subband.</w:t>
      </w:r>
    </w:p>
    <w:p>
      <w:pPr>
        <w:jc w:val="both"/>
        <w:rPr>
          <w:rFonts w:eastAsiaTheme="minorEastAsia"/>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11</w:t>
      </w:r>
      <w:r>
        <w:rPr>
          <w:b/>
          <w:i/>
          <w:u w:val="single"/>
        </w:rPr>
        <w:fldChar w:fldCharType="end"/>
      </w:r>
      <w:r>
        <w:rPr>
          <w:b/>
          <w:i/>
          <w:u w:val="single"/>
          <w:lang w:eastAsia="zh-CN"/>
        </w:rPr>
        <w:t xml:space="preserve">: </w:t>
      </w:r>
      <w:r>
        <w:rPr>
          <w:rFonts w:eastAsiaTheme="minorEastAsia"/>
          <w:lang w:eastAsia="zh-CN"/>
        </w:rPr>
        <w:t xml:space="preserve">For SBFD aware UE’s DL reception, the </w:t>
      </w:r>
      <w:r>
        <w:rPr>
          <w:rFonts w:eastAsiaTheme="minorEastAsia"/>
          <w:lang w:val="en-US" w:eastAsia="zh-CN"/>
        </w:rPr>
        <w:t xml:space="preserve">available DL frequency resources in </w:t>
      </w:r>
      <w:r>
        <w:rPr>
          <w:rFonts w:hint="eastAsia" w:eastAsiaTheme="minorEastAsia"/>
          <w:lang w:val="en-US" w:eastAsia="zh-CN"/>
        </w:rPr>
        <w:t>SBFD</w:t>
      </w:r>
      <w:r>
        <w:rPr>
          <w:rFonts w:eastAsiaTheme="minorEastAsia"/>
          <w:lang w:val="en-US" w:eastAsia="zh-CN"/>
        </w:rPr>
        <w:t xml:space="preserve"> </w:t>
      </w:r>
      <w:r>
        <w:rPr>
          <w:rFonts w:hint="eastAsia" w:eastAsiaTheme="minorEastAsia"/>
          <w:lang w:val="en-US" w:eastAsia="zh-CN"/>
        </w:rPr>
        <w:t>sym</w:t>
      </w:r>
      <w:r>
        <w:rPr>
          <w:rFonts w:eastAsiaTheme="minorEastAsia"/>
          <w:lang w:val="en-US" w:eastAsia="zh-CN"/>
        </w:rPr>
        <w:t xml:space="preserve">bols is the difference set between DL BWP and UL SBFD subband, i.e., available DL frequency resources in </w:t>
      </w:r>
      <w:r>
        <w:rPr>
          <w:rFonts w:hint="eastAsia" w:eastAsiaTheme="minorEastAsia"/>
          <w:lang w:val="en-US" w:eastAsia="zh-CN"/>
        </w:rPr>
        <w:t>SBFD</w:t>
      </w:r>
      <w:r>
        <w:rPr>
          <w:rFonts w:eastAsiaTheme="minorEastAsia"/>
          <w:lang w:val="en-US" w:eastAsia="zh-CN"/>
        </w:rPr>
        <w:t xml:space="preserve"> </w:t>
      </w:r>
      <w:r>
        <w:rPr>
          <w:rFonts w:hint="eastAsia" w:eastAsiaTheme="minorEastAsia"/>
          <w:lang w:val="en-US" w:eastAsia="zh-CN"/>
        </w:rPr>
        <w:t>sym</w:t>
      </w:r>
      <w:r>
        <w:rPr>
          <w:rFonts w:eastAsiaTheme="minorEastAsia"/>
          <w:lang w:val="en-US" w:eastAsia="zh-CN"/>
        </w:rPr>
        <w:t xml:space="preserve">bols = DL BWP </w:t>
      </w:r>
      <m:oMath>
        <m:r>
          <m:rPr>
            <m:sty m:val="p"/>
          </m:rPr>
          <w:rPr>
            <w:rFonts w:ascii="Cambria Math" w:hAnsi="Cambria Math" w:eastAsiaTheme="minorEastAsia"/>
            <w:lang w:val="en-US" w:eastAsia="zh-CN"/>
          </w:rPr>
          <m:t>−</m:t>
        </m:r>
      </m:oMath>
      <w:r>
        <w:rPr>
          <w:rFonts w:hint="eastAsia" w:eastAsiaTheme="minorEastAsia"/>
          <w:lang w:val="en-US" w:eastAsia="zh-CN"/>
        </w:rPr>
        <w:t xml:space="preserve"> </w:t>
      </w:r>
      <w:r>
        <w:rPr>
          <w:rFonts w:eastAsiaTheme="minorEastAsia"/>
          <w:lang w:val="en-US" w:eastAsia="zh-CN"/>
        </w:rPr>
        <w:t>UL SBFD subband.</w:t>
      </w:r>
    </w:p>
    <w:p>
      <w:pPr>
        <w:jc w:val="both"/>
        <w:rPr>
          <w:rFonts w:eastAsiaTheme="minorEastAsia"/>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12</w:t>
      </w:r>
      <w:r>
        <w:rPr>
          <w:b/>
          <w:i/>
          <w:u w:val="single"/>
        </w:rPr>
        <w:fldChar w:fldCharType="end"/>
      </w:r>
      <w:r>
        <w:rPr>
          <w:b/>
          <w:i/>
          <w:u w:val="single"/>
          <w:lang w:eastAsia="zh-CN"/>
        </w:rPr>
        <w:t>:</w:t>
      </w:r>
      <w:r>
        <w:rPr>
          <w:rFonts w:eastAsiaTheme="minorEastAsia"/>
          <w:lang w:eastAsia="zh-CN"/>
        </w:rPr>
        <w:t xml:space="preserve"> For SBFD aware UE’s DL reception, the </w:t>
      </w:r>
      <w:r>
        <w:rPr>
          <w:bCs/>
          <w:iCs/>
          <w:lang w:eastAsia="zh-CN"/>
        </w:rPr>
        <w:t xml:space="preserve">UL subband is defined as </w:t>
      </w:r>
      <w:r>
        <w:rPr>
          <w:rFonts w:eastAsiaTheme="minorEastAsia"/>
          <w:lang w:eastAsia="zh-CN"/>
        </w:rPr>
        <w:t xml:space="preserve">DL resource allocation enhancement information or a common rate matching pattern for all DL signals/channels within UE’s active DL BWP in SBFD slots/symbols without the explicit </w:t>
      </w:r>
      <w:r>
        <w:rPr>
          <w:rFonts w:hint="eastAsia" w:eastAsiaTheme="minorEastAsia"/>
          <w:lang w:eastAsia="zh-CN"/>
        </w:rPr>
        <w:t>D</w:t>
      </w:r>
      <w:r>
        <w:rPr>
          <w:rFonts w:eastAsiaTheme="minorEastAsia"/>
          <w:lang w:eastAsia="zh-CN"/>
        </w:rPr>
        <w:t>L subband frequency location indication.</w:t>
      </w:r>
    </w:p>
    <w:p>
      <w:pPr>
        <w:pStyle w:val="4"/>
        <w:rPr>
          <w:rFonts w:ascii="Times New Roman" w:hAnsi="Times New Roman"/>
          <w:lang w:eastAsia="zh-CN"/>
        </w:rPr>
      </w:pPr>
      <w:r>
        <w:rPr>
          <w:rFonts w:ascii="Times New Roman" w:hAnsi="Times New Roman"/>
          <w:lang w:eastAsia="zh-CN"/>
        </w:rPr>
        <w:t>UE behaviours in DL symbol</w:t>
      </w:r>
    </w:p>
    <w:p>
      <w:pPr>
        <w:jc w:val="both"/>
        <w:rPr>
          <w:rFonts w:eastAsiaTheme="minorEastAsia"/>
          <w:lang w:eastAsia="zh-CN"/>
        </w:rPr>
      </w:pPr>
      <w:r>
        <w:rPr>
          <w:rFonts w:eastAsiaTheme="minorEastAsia"/>
          <w:lang w:eastAsia="zh-CN"/>
        </w:rPr>
        <w:t>O</w:t>
      </w:r>
      <w:r>
        <w:rPr>
          <w:rFonts w:hint="eastAsia" w:eastAsiaTheme="minorEastAsia"/>
          <w:lang w:eastAsia="zh-CN"/>
        </w:rPr>
        <w:t>ne</w:t>
      </w:r>
      <w:r>
        <w:rPr>
          <w:rFonts w:eastAsiaTheme="minorEastAsia"/>
          <w:lang w:eastAsia="zh-CN"/>
        </w:rPr>
        <w:t xml:space="preserve"> remaining issue of UE behaviours in DL symbol is whether the DL reception outside the DL subband(s) are allowed or not. From our point of view, we think this behaviour can be supported</w:t>
      </w:r>
      <w:r>
        <w:rPr>
          <w:rFonts w:ascii="Times" w:hAnsi="Times" w:eastAsia="Malgun Gothic"/>
          <w:szCs w:val="24"/>
          <w:lang w:eastAsia="zh-CN"/>
        </w:rPr>
        <w:t>. As the discussion in section 2.2.1, one use case is that UE measures inter-UE inter-subband CLI within UL subband. In addition, considering if there is no UL service in the serving cell, gNB can reduce the Tx power and use the UL subband resource for DL transmission (e.g., PDSCH). By reducing gNB Tx</w:t>
      </w:r>
      <w:r>
        <w:rPr>
          <w:lang w:val="en-US" w:eastAsia="zh-CN"/>
        </w:rPr>
        <w:t xml:space="preserve"> power, the inter-gNB CLI may not be a big issue.</w:t>
      </w:r>
    </w:p>
    <w:p>
      <w:pPr>
        <w:jc w:val="both"/>
        <w:rPr>
          <w:rFonts w:ascii="Times" w:hAnsi="Times" w:eastAsia="Malgun Gothic"/>
          <w:bCs/>
          <w:szCs w:val="24"/>
          <w:lang w:eastAsia="en-US"/>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13</w:t>
      </w:r>
      <w:r>
        <w:rPr>
          <w:b/>
          <w:i/>
          <w:u w:val="single"/>
        </w:rPr>
        <w:fldChar w:fldCharType="end"/>
      </w:r>
      <w:r>
        <w:rPr>
          <w:b/>
          <w:i/>
          <w:u w:val="single"/>
          <w:lang w:eastAsia="zh-CN"/>
        </w:rPr>
        <w:t xml:space="preserve">: </w:t>
      </w:r>
      <w:r>
        <w:rPr>
          <w:rFonts w:ascii="Times" w:hAnsi="Times" w:eastAsia="Malgun Gothic"/>
          <w:szCs w:val="24"/>
          <w:lang w:eastAsia="zh-CN"/>
        </w:rPr>
        <w:t xml:space="preserve">For </w:t>
      </w:r>
      <w:r>
        <w:rPr>
          <w:rFonts w:ascii="Times" w:hAnsi="Times" w:eastAsia="Malgun Gothic"/>
          <w:szCs w:val="24"/>
          <w:lang w:eastAsia="en-US"/>
        </w:rPr>
        <w:t>SBFD operation</w:t>
      </w:r>
      <w:r>
        <w:rPr>
          <w:rFonts w:ascii="Times" w:hAnsi="Times" w:eastAsia="Malgun Gothic"/>
          <w:bCs/>
          <w:szCs w:val="24"/>
          <w:lang w:eastAsia="en-US"/>
        </w:rPr>
        <w:t xml:space="preserve"> in DL symbol/slot, </w:t>
      </w:r>
      <w:bookmarkStart w:id="20" w:name="_Hlk126918827"/>
      <w:r>
        <w:rPr>
          <w:rFonts w:ascii="Times" w:hAnsi="Times" w:eastAsia="Malgun Gothic"/>
          <w:bCs/>
          <w:szCs w:val="24"/>
          <w:lang w:eastAsia="en-US"/>
        </w:rPr>
        <w:t xml:space="preserve">the DL reception outside the DL subband(s) </w:t>
      </w:r>
      <w:bookmarkEnd w:id="20"/>
      <w:r>
        <w:rPr>
          <w:rFonts w:ascii="Times" w:hAnsi="Times" w:eastAsia="Malgun Gothic"/>
          <w:bCs/>
          <w:szCs w:val="24"/>
          <w:lang w:eastAsia="en-US"/>
        </w:rPr>
        <w:t>are allowed.</w:t>
      </w:r>
    </w:p>
    <w:p>
      <w:pPr>
        <w:pStyle w:val="134"/>
        <w:numPr>
          <w:ilvl w:val="0"/>
          <w:numId w:val="12"/>
        </w:numPr>
        <w:ind w:leftChars="0"/>
        <w:jc w:val="both"/>
        <w:rPr>
          <w:lang w:val="en-US" w:eastAsia="zh-CN"/>
        </w:rPr>
      </w:pPr>
      <w:r>
        <w:rPr>
          <w:lang w:eastAsia="zh-CN"/>
        </w:rPr>
        <w:t>At least support inter-UE CLI measurement outside DL subband.</w:t>
      </w:r>
    </w:p>
    <w:p>
      <w:pPr>
        <w:pStyle w:val="4"/>
        <w:rPr>
          <w:rFonts w:ascii="Times New Roman" w:hAnsi="Times New Roman"/>
          <w:lang w:eastAsia="zh-CN"/>
        </w:rPr>
      </w:pPr>
      <w:r>
        <w:rPr>
          <w:rFonts w:ascii="Times New Roman" w:hAnsi="Times New Roman"/>
          <w:lang w:eastAsia="zh-CN"/>
        </w:rPr>
        <w:t>UE behaviours in flexible symbol</w:t>
      </w:r>
    </w:p>
    <w:p>
      <w:pPr>
        <w:jc w:val="both"/>
        <w:rPr>
          <w:bCs/>
          <w:iCs/>
          <w:lang w:eastAsia="zh-CN"/>
        </w:rPr>
      </w:pPr>
      <w:r>
        <w:rPr>
          <w:bCs/>
          <w:iCs/>
          <w:lang w:eastAsia="zh-CN"/>
        </w:rPr>
        <w:t>Two options are listed in last RAN1 meeting for studying the UE behaviours in flexible symbol, which the first option is the same as UE behaviours in DL symbol and the second option is more flexible. The most difference between two options is whether the RBs outside UL subband can be “flexible” used. The UE behaviours are totally the same as in DL symbol in option 1 which the DL or UL transmission are confined within the DL or UL subband. For option 2, the RBs outside UL subband can be used either as UL or DL.</w:t>
      </w:r>
    </w:p>
    <w:p>
      <w:pPr>
        <w:jc w:val="both"/>
        <w:rPr>
          <w:bCs/>
          <w:iCs/>
          <w:lang w:eastAsia="zh-CN"/>
        </w:rPr>
      </w:pPr>
      <w:r>
        <w:rPr>
          <w:bCs/>
          <w:iCs/>
          <w:lang w:eastAsia="zh-CN"/>
        </w:rPr>
        <w:t xml:space="preserve">Comparison between two options, the gNB’s implementation complexity is simpler in option 1 because the location of UL subband is much stationary, gNB doesn’t needs to adjust the antenna architectures as well as the self-interference/CLI handling algorithms frequently between different flexible symbol. From the scheduling flexibility perspective, option 2 can bring additional gain than option 1, especially considering the traditional flexible symbol/slot in legacy TDD system can already be dynamically used as DL or UL. But if the dynamic indication of time location of UL subband is also supported in option 1, they have the similar effects. For example, gNB can disable the UL subband in some flexible symbol/slot and change it to full UL or DL. Therefore, we think Option 1 combined with </w:t>
      </w:r>
      <w:r>
        <w:rPr>
          <w:lang w:eastAsia="zh-CN"/>
        </w:rPr>
        <w:t>dynamically indication of the time location of UL subband is a good compromise solution which can bring the scheduling flexibility as well as maintain the same design between DL and flexible symbol to reduce gNB complexity and specification impacts</w:t>
      </w:r>
      <w:r>
        <w:rPr>
          <w:rFonts w:ascii="Times" w:hAnsi="Times" w:eastAsia="Malgun Gothic"/>
          <w:bCs/>
          <w:szCs w:val="24"/>
          <w:lang w:eastAsia="en-US"/>
        </w:rPr>
        <w:t>.</w:t>
      </w:r>
    </w:p>
    <w:p>
      <w:pPr>
        <w:jc w:val="both"/>
        <w:rPr>
          <w:rFonts w:ascii="Times" w:hAnsi="Times" w:eastAsia="Malgun Gothic"/>
          <w:bCs/>
          <w:szCs w:val="24"/>
          <w:lang w:eastAsia="en-US"/>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14</w:t>
      </w:r>
      <w:r>
        <w:rPr>
          <w:b/>
          <w:i/>
          <w:u w:val="single"/>
        </w:rPr>
        <w:fldChar w:fldCharType="end"/>
      </w:r>
      <w:r>
        <w:rPr>
          <w:b/>
          <w:i/>
          <w:u w:val="single"/>
          <w:lang w:eastAsia="zh-CN"/>
        </w:rPr>
        <w:t xml:space="preserve">: </w:t>
      </w:r>
      <w:r>
        <w:rPr>
          <w:rFonts w:ascii="Times" w:hAnsi="Times" w:eastAsia="Malgun Gothic"/>
          <w:szCs w:val="24"/>
          <w:lang w:eastAsia="zh-CN"/>
        </w:rPr>
        <w:t xml:space="preserve">For </w:t>
      </w:r>
      <w:r>
        <w:rPr>
          <w:rFonts w:ascii="Times" w:hAnsi="Times" w:eastAsia="Malgun Gothic"/>
          <w:szCs w:val="24"/>
          <w:lang w:eastAsia="en-US"/>
        </w:rPr>
        <w:t>SBFD operation</w:t>
      </w:r>
      <w:r>
        <w:rPr>
          <w:rFonts w:ascii="Times" w:hAnsi="Times" w:eastAsia="Malgun Gothic"/>
          <w:bCs/>
          <w:szCs w:val="24"/>
          <w:lang w:eastAsia="en-US"/>
        </w:rPr>
        <w:t xml:space="preserve"> in flexible symbol/slot, Option 1 is supported for </w:t>
      </w:r>
      <w:r>
        <w:rPr>
          <w:rFonts w:eastAsia="Malgun Gothic"/>
        </w:rPr>
        <w:t>SBFD aware UE</w:t>
      </w:r>
      <w:r>
        <w:rPr>
          <w:rFonts w:ascii="Times" w:hAnsi="Times" w:eastAsia="Malgun Gothic"/>
          <w:bCs/>
          <w:szCs w:val="24"/>
          <w:lang w:eastAsia="en-US"/>
        </w:rPr>
        <w:t>.</w:t>
      </w:r>
    </w:p>
    <w:p>
      <w:pPr>
        <w:pStyle w:val="3"/>
        <w:ind w:left="0" w:firstLine="0"/>
        <w:jc w:val="both"/>
        <w:rPr>
          <w:rFonts w:ascii="Times New Roman" w:hAnsi="Times New Roman"/>
          <w:lang w:eastAsia="zh-CN"/>
        </w:rPr>
      </w:pPr>
      <w:r>
        <w:rPr>
          <w:rFonts w:ascii="Times New Roman" w:hAnsi="Times New Roman"/>
          <w:lang w:eastAsia="zh-CN"/>
        </w:rPr>
        <w:t>R</w:t>
      </w:r>
      <w:r>
        <w:rPr>
          <w:rFonts w:hint="eastAsia" w:ascii="Times New Roman" w:hAnsi="Times New Roman"/>
          <w:lang w:eastAsia="zh-CN"/>
        </w:rPr>
        <w:t>esource</w:t>
      </w:r>
      <w:r>
        <w:rPr>
          <w:rFonts w:ascii="Times New Roman" w:hAnsi="Times New Roman"/>
          <w:lang w:eastAsia="zh-CN"/>
        </w:rPr>
        <w:t xml:space="preserve"> allocation enhancement</w:t>
      </w:r>
    </w:p>
    <w:p>
      <w:pPr>
        <w:pStyle w:val="4"/>
        <w:rPr>
          <w:rFonts w:ascii="Times New Roman" w:hAnsi="Times New Roman"/>
          <w:lang w:eastAsia="zh-CN"/>
        </w:rPr>
      </w:pPr>
      <w:r>
        <w:rPr>
          <w:rFonts w:ascii="Times New Roman" w:hAnsi="Times New Roman"/>
          <w:lang w:eastAsia="zh-CN"/>
        </w:rPr>
        <w:t>Single DL reception</w:t>
      </w:r>
    </w:p>
    <w:p>
      <w:pPr>
        <w:pStyle w:val="134"/>
        <w:numPr>
          <w:ilvl w:val="0"/>
          <w:numId w:val="17"/>
        </w:numPr>
        <w:ind w:leftChars="0"/>
        <w:rPr>
          <w:b/>
          <w:bCs/>
          <w:i/>
          <w:iCs/>
          <w:u w:val="single"/>
        </w:rPr>
      </w:pPr>
      <w:r>
        <w:rPr>
          <w:b/>
          <w:bCs/>
          <w:i/>
          <w:iCs/>
          <w:u w:val="single"/>
        </w:rPr>
        <w:t>PDSCH and CSI-RS</w:t>
      </w:r>
    </w:p>
    <w:p>
      <w:pPr>
        <w:jc w:val="both"/>
        <w:rPr>
          <w:rFonts w:eastAsiaTheme="minorEastAsia"/>
        </w:rPr>
      </w:pPr>
      <w:r>
        <w:rPr>
          <w:lang w:eastAsia="zh-CN"/>
        </w:rPr>
        <w:t xml:space="preserve">Due to the {DUD} subband frequency pattern, there are unaligned boundaries between resource block group(s)/reporting subband(s) and SBFD subbands. In this case, the continuous RA type1 of PDSCH and </w:t>
      </w:r>
      <w:r>
        <w:t xml:space="preserve">contiguous FDRA of CSI-RS are not suitable and it will also cause </w:t>
      </w:r>
      <w:r>
        <w:rPr>
          <w:rFonts w:eastAsiaTheme="minorEastAsia"/>
        </w:rPr>
        <w:t xml:space="preserve">fractional RBGs of PDSCH and fractional CSI report subband at the SBFD subband boundary. </w:t>
      </w:r>
    </w:p>
    <w:p>
      <w:pPr>
        <w:jc w:val="both"/>
        <w:rPr>
          <w:lang w:eastAsia="zh-CN"/>
        </w:rPr>
      </w:pPr>
      <w:r>
        <w:rPr>
          <w:rFonts w:eastAsiaTheme="minorEastAsia"/>
        </w:rPr>
        <w:t xml:space="preserve">Although the granularities of PDSCH and CSI-RS resource allocation are different, we think a common solution can solve the single PDSCH and CS-RS reception resource allocation issue, </w:t>
      </w:r>
      <w:r>
        <w:rPr>
          <w:rFonts w:eastAsiaTheme="minorEastAsia"/>
          <w:lang w:eastAsia="zh-CN"/>
        </w:rPr>
        <w:t xml:space="preserve">that is defining non-continuous PRB-to-CRB mapping as in </w:t>
      </w:r>
      <w:r>
        <w:rPr>
          <w:rFonts w:eastAsiaTheme="minorEastAsia"/>
          <w:lang w:eastAsia="zh-CN"/>
        </w:rPr>
        <w:fldChar w:fldCharType="begin"/>
      </w:r>
      <w:r>
        <w:rPr>
          <w:rFonts w:eastAsiaTheme="minorEastAsia"/>
          <w:lang w:eastAsia="zh-CN"/>
        </w:rPr>
        <w:instrText xml:space="preserve"> REF _Ref127114326 \h </w:instrText>
      </w:r>
      <w:r>
        <w:rPr>
          <w:rFonts w:eastAsiaTheme="minorEastAsia"/>
          <w:lang w:eastAsia="zh-CN"/>
        </w:rPr>
        <w:fldChar w:fldCharType="separate"/>
      </w:r>
      <w:r>
        <w:rPr>
          <w:b/>
          <w:bCs/>
          <w:lang w:eastAsia="zh-CN"/>
        </w:rPr>
        <w:t>Figure 10</w:t>
      </w:r>
      <w:r>
        <w:rPr>
          <w:rFonts w:eastAsiaTheme="minorEastAsia"/>
          <w:lang w:eastAsia="zh-CN"/>
        </w:rPr>
        <w:fldChar w:fldCharType="end"/>
      </w:r>
      <w:r>
        <w:rPr>
          <w:rFonts w:eastAsiaTheme="minorEastAsia"/>
          <w:lang w:eastAsia="zh-CN"/>
        </w:rPr>
        <w:t>. In SBFD slots, the PRB index of DL BWP is continuous but the corresponded CRB index is not continuous which skips the SBFD frequency region. Because all the resource allocation indication/configuration of DL signals/channels in current specs are based on the PRB index within DL BWP, this method is a common solution to simply realize the non-</w:t>
      </w:r>
      <w:r>
        <w:rPr>
          <w:rFonts w:eastAsiaTheme="minorEastAsia"/>
        </w:rPr>
        <w:t>contiguous</w:t>
      </w:r>
      <w:r>
        <w:rPr>
          <w:rFonts w:eastAsiaTheme="minorEastAsia"/>
          <w:lang w:eastAsia="zh-CN"/>
        </w:rPr>
        <w:t xml:space="preserve"> FDRA of PDSCH/CSI-RS across DL subbands and also can utilize the </w:t>
      </w:r>
      <w:r>
        <w:rPr>
          <w:rFonts w:eastAsiaTheme="minorEastAsia"/>
        </w:rPr>
        <w:t xml:space="preserve">fractional RBGs/ CSI report subband </w:t>
      </w:r>
      <w:r>
        <w:rPr>
          <w:rFonts w:hint="eastAsia" w:eastAsiaTheme="minorEastAsia"/>
          <w:lang w:eastAsia="zh-CN"/>
        </w:rPr>
        <w:t>without</w:t>
      </w:r>
      <w:r>
        <w:rPr>
          <w:rFonts w:eastAsiaTheme="minorEastAsia"/>
        </w:rPr>
        <w:t xml:space="preserve"> </w:t>
      </w:r>
      <w:r>
        <w:rPr>
          <w:rFonts w:hint="eastAsia" w:eastAsiaTheme="minorEastAsia"/>
          <w:lang w:eastAsia="zh-CN"/>
        </w:rPr>
        <w:t>a</w:t>
      </w:r>
      <w:r>
        <w:rPr>
          <w:rFonts w:eastAsiaTheme="minorEastAsia"/>
          <w:lang w:eastAsia="zh-CN"/>
        </w:rPr>
        <w:t>ny other spec impacts on resource allocation enhancement.</w:t>
      </w:r>
    </w:p>
    <w:p>
      <w:pPr>
        <w:jc w:val="center"/>
        <w:rPr>
          <w:rFonts w:eastAsiaTheme="minorEastAsia"/>
          <w:lang w:eastAsia="zh-CN"/>
        </w:rPr>
      </w:pPr>
      <w:r>
        <w:object>
          <v:shape id="_x0000_i1031" o:spt="75" type="#_x0000_t75" style="height:121.5pt;width:223.8pt;" o:ole="t" filled="f" o:preferrelative="t" stroked="f" coordsize="21600,21600">
            <v:path/>
            <v:fill on="f" focussize="0,0"/>
            <v:stroke on="f" joinstyle="miter"/>
            <v:imagedata r:id="rId26" o:title=""/>
            <o:lock v:ext="edit" aspectratio="t"/>
            <w10:wrap type="none"/>
            <w10:anchorlock/>
          </v:shape>
          <o:OLEObject Type="Embed" ProgID="Visio.Drawing.15" ShapeID="_x0000_i1031" DrawAspect="Content" ObjectID="_1468075731" r:id="rId25">
            <o:LockedField>false</o:LockedField>
          </o:OLEObject>
        </w:object>
      </w:r>
    </w:p>
    <w:p>
      <w:pPr>
        <w:jc w:val="center"/>
        <w:rPr>
          <w:b/>
          <w:bCs/>
          <w:lang w:eastAsia="zh-CN"/>
        </w:rPr>
      </w:pPr>
      <w:bookmarkStart w:id="21" w:name="_Ref127114326"/>
      <w:r>
        <w:rPr>
          <w:b/>
          <w:bCs/>
          <w:lang w:eastAsia="zh-CN"/>
        </w:rPr>
        <w:t xml:space="preserve">Figure </w:t>
      </w:r>
      <w:bookmarkEnd w:id="21"/>
      <w:r>
        <w:rPr>
          <w:b/>
          <w:bCs/>
          <w:lang w:eastAsia="zh-CN"/>
        </w:rPr>
        <w:t>10</w:t>
      </w:r>
      <w:r>
        <w:rPr>
          <w:b/>
        </w:rPr>
        <w:t xml:space="preserve">. </w:t>
      </w:r>
      <w:r>
        <w:rPr>
          <w:b/>
          <w:bCs/>
          <w:lang w:eastAsia="zh-CN"/>
        </w:rPr>
        <w:t xml:space="preserve">Non-continuous PRB-to-CRB mapping of DL BWP </w:t>
      </w:r>
    </w:p>
    <w:p>
      <w:pPr>
        <w:jc w:val="both"/>
        <w:rPr>
          <w:rFonts w:eastAsiaTheme="minorEastAsia"/>
          <w:lang w:eastAsia="zh-CN"/>
        </w:rPr>
      </w:pPr>
      <w:r>
        <w:rPr>
          <w:b/>
          <w:i/>
          <w:u w:val="single"/>
        </w:rPr>
        <w:t>Proposal 15</w:t>
      </w:r>
      <w:r>
        <w:rPr>
          <w:b/>
          <w:i/>
          <w:u w:val="single"/>
          <w:lang w:eastAsia="zh-CN"/>
        </w:rPr>
        <w:t xml:space="preserve">: </w:t>
      </w:r>
      <w:r>
        <w:rPr>
          <w:rFonts w:eastAsiaTheme="minorEastAsia"/>
          <w:lang w:eastAsia="zh-CN"/>
        </w:rPr>
        <w:t>Support</w:t>
      </w:r>
      <w:bookmarkStart w:id="22" w:name="_Hlk114667001"/>
      <w:r>
        <w:rPr>
          <w:rFonts w:eastAsiaTheme="minorEastAsia"/>
          <w:lang w:eastAsia="zh-CN"/>
        </w:rPr>
        <w:t xml:space="preserve"> non-continuous PRB-to-CRB mapping of DL BWP</w:t>
      </w:r>
      <w:bookmarkEnd w:id="22"/>
      <w:r>
        <w:rPr>
          <w:rFonts w:eastAsiaTheme="minorEastAsia"/>
          <w:lang w:eastAsia="zh-CN"/>
        </w:rPr>
        <w:t xml:space="preserve"> on SBFD slots to solve the resource allocation issue of PDSCH/CSI-RS in DL subbands.</w:t>
      </w:r>
    </w:p>
    <w:p>
      <w:pPr>
        <w:jc w:val="both"/>
        <w:rPr>
          <w:rFonts w:eastAsiaTheme="minorEastAsia"/>
          <w:lang w:eastAsia="zh-CN"/>
        </w:rPr>
      </w:pPr>
    </w:p>
    <w:p>
      <w:pPr>
        <w:pStyle w:val="134"/>
        <w:numPr>
          <w:ilvl w:val="0"/>
          <w:numId w:val="17"/>
        </w:numPr>
        <w:ind w:leftChars="0"/>
        <w:rPr>
          <w:b/>
          <w:bCs/>
          <w:i/>
          <w:iCs/>
          <w:u w:val="single"/>
        </w:rPr>
      </w:pPr>
      <w:r>
        <w:rPr>
          <w:b/>
          <w:bCs/>
          <w:i/>
          <w:iCs/>
          <w:u w:val="single"/>
        </w:rPr>
        <w:t>PDCCH</w:t>
      </w:r>
    </w:p>
    <w:p>
      <w:pPr>
        <w:jc w:val="both"/>
        <w:rPr>
          <w:lang w:eastAsia="zh-CN"/>
        </w:rPr>
      </w:pPr>
      <w:r>
        <w:rPr>
          <w:lang w:eastAsia="zh-CN"/>
        </w:rPr>
        <w:t>Different from PDSCH/CSI-RS, the bitmap based CORESET frequency domain resource allocation can already avoid the UL subband frequency. However, the number of CORESETs UE supporting is limited, e.g., mandatary two CORESETs in FR1. Considering one UE needs to receive CORESETs both in normal DL slots and SBFD slots, if two CORESETs are configured for normal DL slots and SBFD slots respectively, the scheduling flexibility will be reduced. Thus, we think some enhancements on PDCCH resource allocation or CORESET configuration can be further studied to maintain the gNB’s PDCCH scheduling flexibility.</w:t>
      </w:r>
    </w:p>
    <w:p>
      <w:pPr>
        <w:jc w:val="both"/>
        <w:rPr>
          <w:rFonts w:eastAsiaTheme="minorEastAsia"/>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16</w:t>
      </w:r>
      <w:r>
        <w:rPr>
          <w:b/>
          <w:i/>
          <w:u w:val="single"/>
        </w:rPr>
        <w:fldChar w:fldCharType="end"/>
      </w:r>
      <w:r>
        <w:rPr>
          <w:b/>
          <w:i/>
          <w:u w:val="single"/>
          <w:lang w:eastAsia="zh-CN"/>
        </w:rPr>
        <w:t xml:space="preserve">: </w:t>
      </w:r>
      <w:r>
        <w:rPr>
          <w:lang w:eastAsia="zh-CN"/>
        </w:rPr>
        <w:t xml:space="preserve">The enhancements on PDCCH resource allocation or CORESET configuration can be further studied </w:t>
      </w:r>
      <w:r>
        <w:rPr>
          <w:rFonts w:eastAsiaTheme="minorEastAsia"/>
          <w:lang w:eastAsia="zh-CN"/>
        </w:rPr>
        <w:t>considering the PDCCH reception across SBFD symbol and non-SBFD symbol.</w:t>
      </w:r>
    </w:p>
    <w:p>
      <w:pPr>
        <w:jc w:val="both"/>
        <w:rPr>
          <w:lang w:eastAsia="zh-CN"/>
        </w:rPr>
      </w:pPr>
      <w:r>
        <w:rPr>
          <w:rFonts w:eastAsiaTheme="minorEastAsia"/>
          <w:lang w:eastAsia="zh-CN"/>
        </w:rPr>
        <w:t>A</w:t>
      </w:r>
      <w:r>
        <w:rPr>
          <w:rFonts w:hint="eastAsia" w:eastAsiaTheme="minorEastAsia"/>
          <w:lang w:eastAsia="zh-CN"/>
        </w:rPr>
        <w:t>n</w:t>
      </w:r>
      <w:r>
        <w:rPr>
          <w:rFonts w:eastAsiaTheme="minorEastAsia"/>
          <w:lang w:eastAsia="zh-CN"/>
        </w:rPr>
        <w:t xml:space="preserve">other issue needs consideration is the DCI size determination. </w:t>
      </w:r>
      <w:r>
        <w:rPr>
          <w:rFonts w:hint="eastAsia"/>
          <w:lang w:eastAsia="zh-CN"/>
        </w:rPr>
        <w:t>A</w:t>
      </w:r>
      <w:r>
        <w:rPr>
          <w:lang w:eastAsia="zh-CN"/>
        </w:rPr>
        <w:t>ssume there are 20MHz (about 51 RB) in UL SBFD subband and UE’s UL BWP is 100MHz (273 RB),</w:t>
      </w:r>
      <w:r>
        <w:rPr>
          <w:rFonts w:eastAsiaTheme="minorEastAsia"/>
          <w:lang w:val="en-US" w:eastAsia="zh-CN"/>
        </w:rPr>
        <w:t xml:space="preserve"> if the FDRA field size is according to the size of UL subband (for scheduling UL subband) and UL BWP (for scheduling UL BWP) respectively, there will be two different UL grant DCI sizes. </w:t>
      </w:r>
      <w:r>
        <w:rPr>
          <w:rFonts w:hint="eastAsia"/>
          <w:lang w:eastAsia="zh-CN"/>
        </w:rPr>
        <w:t>N</w:t>
      </w:r>
      <w:r>
        <w:rPr>
          <w:lang w:eastAsia="zh-CN"/>
        </w:rPr>
        <w:t xml:space="preserve">evertheless, in current spec, the total number of different DCI sizes configured to monitor for a serving cell is limited, which restricts the potential enhancement on DCI payload reduction. </w:t>
      </w:r>
    </w:p>
    <w:p>
      <w:pPr>
        <w:jc w:val="both"/>
        <w:rPr>
          <w:lang w:eastAsia="zh-CN"/>
        </w:rPr>
      </w:pPr>
      <w:r>
        <w:rPr>
          <w:lang w:eastAsia="zh-CN"/>
        </w:rPr>
        <w:t xml:space="preserve">Therefore, further enhancement on DCI size determination/alignment can be. The first approach is determining the FDRA field bitlength by the maximum of {BWP size, subband size} to maintain only one DCI size for SBFD symbol and non-SBFD symbol. The second approach is to align the DCI size per CORESET, and for each CORESET, the total number of different DCI sizes configured to monitor is limited to 3 or 4, while, for the whole serving cell, the total number of different DCI sizes configured to monitor can exceed 3 or 4. In this case, DCI formats specific to SBFD subband can be gathered in one CORESET, and others DCI formats can be gathered in another CORESET. </w:t>
      </w:r>
    </w:p>
    <w:p>
      <w:pPr>
        <w:jc w:val="both"/>
        <w:rPr>
          <w:b/>
          <w:i/>
          <w:u w:val="single"/>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17</w:t>
      </w:r>
      <w:r>
        <w:rPr>
          <w:b/>
          <w:i/>
          <w:u w:val="single"/>
        </w:rPr>
        <w:fldChar w:fldCharType="end"/>
      </w:r>
      <w:r>
        <w:rPr>
          <w:b/>
          <w:i/>
          <w:u w:val="single"/>
          <w:lang w:eastAsia="zh-CN"/>
        </w:rPr>
        <w:t xml:space="preserve">: </w:t>
      </w:r>
      <w:r>
        <w:rPr>
          <w:rFonts w:ascii="Times" w:hAnsi="Times" w:eastAsiaTheme="minorEastAsia"/>
          <w:szCs w:val="24"/>
        </w:rPr>
        <w:t>For a single DCI format used to schedule PDSCH/PUSCH in SBFD symbol/slot or non-SBFD symbol/slot, the following two options about the DCI size determination can be further studied:</w:t>
      </w:r>
    </w:p>
    <w:p>
      <w:pPr>
        <w:pStyle w:val="134"/>
        <w:numPr>
          <w:ilvl w:val="0"/>
          <w:numId w:val="18"/>
        </w:numPr>
        <w:ind w:leftChars="0"/>
        <w:rPr>
          <w:rFonts w:eastAsiaTheme="minorEastAsia"/>
        </w:rPr>
      </w:pPr>
      <w:r>
        <w:rPr>
          <w:rFonts w:eastAsiaTheme="minorEastAsia"/>
        </w:rPr>
        <w:t>Option 1: The same DCI size is used for scheduling SBFD symbol/slot or non-SBFD symbol/slot, e.g., the FDRA field size is determined on the maximum value of UL subband in SBFD symbol/slot and UL BWP in non-SBFD symbol/slot;</w:t>
      </w:r>
    </w:p>
    <w:p>
      <w:pPr>
        <w:pStyle w:val="134"/>
        <w:numPr>
          <w:ilvl w:val="0"/>
          <w:numId w:val="18"/>
        </w:numPr>
        <w:ind w:leftChars="0"/>
        <w:rPr>
          <w:rFonts w:eastAsiaTheme="minorEastAsia"/>
        </w:rPr>
      </w:pPr>
      <w:r>
        <w:rPr>
          <w:rFonts w:eastAsiaTheme="minorEastAsia"/>
        </w:rPr>
        <w:t xml:space="preserve">Option 2: Different DCI sizes are used for scheduling SBFD symbol/slot and non-SBFD symbol/slot respectively and the </w:t>
      </w:r>
      <w:r>
        <w:rPr>
          <w:lang w:eastAsia="zh-CN"/>
        </w:rPr>
        <w:t xml:space="preserve">DCI size </w:t>
      </w:r>
      <w:r>
        <w:rPr>
          <w:rFonts w:eastAsiaTheme="minorEastAsia"/>
        </w:rPr>
        <w:t>alignment</w:t>
      </w:r>
      <w:r>
        <w:rPr>
          <w:lang w:eastAsia="zh-CN"/>
        </w:rPr>
        <w:t xml:space="preserve"> can be performed per CORESET.</w:t>
      </w:r>
    </w:p>
    <w:p>
      <w:pPr>
        <w:pStyle w:val="4"/>
        <w:rPr>
          <w:rFonts w:ascii="Times New Roman" w:hAnsi="Times New Roman"/>
          <w:lang w:eastAsia="zh-CN"/>
        </w:rPr>
      </w:pPr>
      <w:r>
        <w:rPr>
          <w:rFonts w:ascii="Times New Roman" w:hAnsi="Times New Roman"/>
          <w:lang w:eastAsia="zh-CN"/>
        </w:rPr>
        <w:t>Single UL transmission</w:t>
      </w:r>
    </w:p>
    <w:p>
      <w:pPr>
        <w:jc w:val="both"/>
        <w:rPr>
          <w:rFonts w:eastAsiaTheme="minorEastAsia"/>
        </w:rPr>
      </w:pPr>
      <w:r>
        <w:rPr>
          <w:rFonts w:hint="eastAsia"/>
          <w:lang w:eastAsia="zh-CN"/>
        </w:rPr>
        <w:t>F</w:t>
      </w:r>
      <w:r>
        <w:rPr>
          <w:lang w:eastAsia="zh-CN"/>
        </w:rPr>
        <w:t xml:space="preserve">or single UL transmission, including PUCCH/PUSCH/SRS, the resource allocation issue is how to define the </w:t>
      </w:r>
      <w:r>
        <w:rPr>
          <w:rFonts w:eastAsiaTheme="minorEastAsia"/>
        </w:rPr>
        <w:t>FDRA and frequency hopping due to different available frequency resources in SBFD symbols and non-SBFD symbols.</w:t>
      </w:r>
    </w:p>
    <w:p>
      <w:pPr>
        <w:jc w:val="both"/>
        <w:rPr>
          <w:rFonts w:eastAsiaTheme="minorEastAsia"/>
          <w:lang w:eastAsia="zh-CN"/>
        </w:rPr>
      </w:pPr>
      <w:r>
        <w:rPr>
          <w:rFonts w:eastAsiaTheme="minorEastAsia"/>
        </w:rPr>
        <w:t xml:space="preserve">As the discussion in section 3.1.2, </w:t>
      </w:r>
      <w:r>
        <w:rPr>
          <w:rFonts w:eastAsiaTheme="minorEastAsia"/>
          <w:lang w:eastAsia="zh-CN"/>
        </w:rPr>
        <w:t xml:space="preserve">separate </w:t>
      </w:r>
      <w:r>
        <w:rPr>
          <w:lang w:eastAsia="zh-CN"/>
        </w:rPr>
        <w:t xml:space="preserve">PUCCH/PUSCH/SRS configurations can be configured for </w:t>
      </w:r>
      <w:r>
        <w:rPr>
          <w:rFonts w:eastAsiaTheme="minorEastAsia"/>
          <w:lang w:eastAsia="zh-CN"/>
        </w:rPr>
        <w:t xml:space="preserve">SBFD frequency region in SBFD slots and whole UL BWP in UL slots to </w:t>
      </w:r>
      <w:r>
        <w:rPr>
          <w:rFonts w:eastAsiaTheme="minorEastAsia"/>
          <w:lang w:val="en-US" w:eastAsia="zh-CN"/>
        </w:rPr>
        <w:t>increase the flexibility of the configuration/usage for UL.</w:t>
      </w:r>
      <w:r>
        <w:rPr>
          <w:rFonts w:eastAsiaTheme="minorEastAsia"/>
          <w:lang w:eastAsia="zh-CN"/>
        </w:rPr>
        <w:t xml:space="preserve"> Take PUCCH as example, if all the PUCCH resources are configured within the frequency resource range of UL subband for both SBFD slots and non-SBFD slots, this will cause the fragment of UL resource in non-SBFD slots.</w:t>
      </w:r>
      <w:r>
        <w:rPr>
          <w:rFonts w:hint="eastAsia" w:eastAsiaTheme="minorEastAsia"/>
          <w:lang w:eastAsia="zh-CN"/>
        </w:rPr>
        <w:t xml:space="preserve"> </w:t>
      </w:r>
      <w:r>
        <w:rPr>
          <w:rFonts w:eastAsiaTheme="minorEastAsia"/>
          <w:lang w:eastAsia="zh-CN"/>
        </w:rPr>
        <w:t xml:space="preserve">From our understanding, the separate </w:t>
      </w:r>
      <w:r>
        <w:rPr>
          <w:lang w:eastAsia="zh-CN"/>
        </w:rPr>
        <w:t>PUCCH/PUSCH/SRS configurations can include the following parameters</w:t>
      </w:r>
      <w:r>
        <w:rPr>
          <w:rFonts w:eastAsiaTheme="minorEastAsia"/>
        </w:rPr>
        <w:t xml:space="preserve"> in SBFD symbols and non-SBFD symbols</w:t>
      </w:r>
      <w:r>
        <w:rPr>
          <w:lang w:eastAsia="zh-CN"/>
        </w:rPr>
        <w:t>: PUSCH/PUCCH frequency hopping offsets, PUCCH resource sets and SRS resources to solve the above two issues.</w:t>
      </w:r>
    </w:p>
    <w:p>
      <w:pPr>
        <w:jc w:val="both"/>
        <w:rPr>
          <w:rFonts w:eastAsiaTheme="minorEastAsia"/>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18</w:t>
      </w:r>
      <w:r>
        <w:rPr>
          <w:b/>
          <w:i/>
          <w:u w:val="single"/>
        </w:rPr>
        <w:fldChar w:fldCharType="end"/>
      </w:r>
      <w:r>
        <w:rPr>
          <w:b/>
          <w:i/>
          <w:u w:val="single"/>
          <w:lang w:eastAsia="zh-CN"/>
        </w:rPr>
        <w:t xml:space="preserve">: </w:t>
      </w:r>
      <w:r>
        <w:rPr>
          <w:rFonts w:eastAsiaTheme="minorEastAsia"/>
        </w:rPr>
        <w:t>For UL transmission, the following parameters can be separately configured in SBFD symbols and non-SBFD symbols:</w:t>
      </w:r>
    </w:p>
    <w:p>
      <w:pPr>
        <w:pStyle w:val="134"/>
        <w:numPr>
          <w:ilvl w:val="0"/>
          <w:numId w:val="18"/>
        </w:numPr>
        <w:ind w:leftChars="0"/>
        <w:rPr>
          <w:rFonts w:eastAsiaTheme="minorEastAsia"/>
        </w:rPr>
      </w:pPr>
      <w:r>
        <w:rPr>
          <w:lang w:eastAsia="zh-CN"/>
        </w:rPr>
        <w:t>PUSCH/PUCCH frequency hopping offsets;</w:t>
      </w:r>
    </w:p>
    <w:p>
      <w:pPr>
        <w:pStyle w:val="134"/>
        <w:numPr>
          <w:ilvl w:val="0"/>
          <w:numId w:val="18"/>
        </w:numPr>
        <w:ind w:leftChars="0"/>
        <w:rPr>
          <w:lang w:eastAsia="zh-CN"/>
        </w:rPr>
      </w:pPr>
      <w:r>
        <w:rPr>
          <w:lang w:eastAsia="zh-CN"/>
        </w:rPr>
        <w:t>PUCCH resource sets;</w:t>
      </w:r>
    </w:p>
    <w:p>
      <w:pPr>
        <w:pStyle w:val="134"/>
        <w:numPr>
          <w:ilvl w:val="0"/>
          <w:numId w:val="18"/>
        </w:numPr>
        <w:ind w:leftChars="0"/>
        <w:rPr>
          <w:lang w:eastAsia="zh-CN"/>
        </w:rPr>
      </w:pPr>
      <w:r>
        <w:rPr>
          <w:rFonts w:hint="eastAsia"/>
          <w:lang w:eastAsia="zh-CN"/>
        </w:rPr>
        <w:t>S</w:t>
      </w:r>
      <w:r>
        <w:rPr>
          <w:lang w:eastAsia="zh-CN"/>
        </w:rPr>
        <w:t>RS resources.</w:t>
      </w:r>
    </w:p>
    <w:p>
      <w:pPr>
        <w:pStyle w:val="4"/>
        <w:jc w:val="both"/>
        <w:rPr>
          <w:rFonts w:ascii="Times New Roman" w:hAnsi="Times New Roman"/>
          <w:lang w:eastAsia="zh-CN"/>
        </w:rPr>
      </w:pPr>
      <w:r>
        <w:rPr>
          <w:rFonts w:ascii="Times New Roman" w:hAnsi="Times New Roman"/>
          <w:lang w:eastAsia="zh-CN"/>
        </w:rPr>
        <w:t>UL transmissions and DL receptions across SBFD symbols and non-SBFD symbols</w:t>
      </w:r>
    </w:p>
    <w:p>
      <w:pPr>
        <w:pStyle w:val="134"/>
        <w:numPr>
          <w:ilvl w:val="0"/>
          <w:numId w:val="19"/>
        </w:numPr>
        <w:ind w:leftChars="0"/>
        <w:rPr>
          <w:b/>
          <w:bCs/>
          <w:i/>
          <w:iCs/>
          <w:u w:val="single"/>
        </w:rPr>
      </w:pPr>
      <w:r>
        <w:rPr>
          <w:b/>
          <w:bCs/>
          <w:i/>
          <w:iCs/>
          <w:u w:val="single"/>
        </w:rPr>
        <w:t>PDSCH/PUSCH/PUCCH repetition</w:t>
      </w:r>
    </w:p>
    <w:p>
      <w:pPr>
        <w:jc w:val="both"/>
        <w:rPr>
          <w:lang w:eastAsia="zh-CN"/>
        </w:rPr>
      </w:pPr>
      <w:r>
        <w:rPr>
          <w:lang w:eastAsia="zh-CN"/>
        </w:rPr>
        <w:t xml:space="preserve">Regarding the PDSCH/PUSCH/PUCCH repetition issue, two options can be considered. Option 1 is that the PDSCH/PUSCH/PUCCH repetition is restricted only across SBFD slots or non-SBFD slots. Considering the interference situation and Tx power are different between SBFD slots or non-SBFD slots, it may not be suitable to use the same resource allocation and MCS for all PDSCHs, but this option may cause some scheduling restriction. Option 2 is that the </w:t>
      </w:r>
      <w:bookmarkStart w:id="23" w:name="_Hlk114219282"/>
      <w:r>
        <w:rPr>
          <w:lang w:eastAsia="zh-CN"/>
        </w:rPr>
        <w:t xml:space="preserve">PDSCH/PUSCH/PUCCH repetition can be across SBFD slots and non-SBFD slots, but some automatic adjustment </w:t>
      </w:r>
      <w:bookmarkEnd w:id="23"/>
      <w:r>
        <w:rPr>
          <w:lang w:eastAsia="zh-CN"/>
        </w:rPr>
        <w:t xml:space="preserve">should be supported. For example, as in </w:t>
      </w:r>
      <w:r>
        <w:rPr>
          <w:lang w:eastAsia="zh-CN"/>
        </w:rPr>
        <w:fldChar w:fldCharType="begin"/>
      </w:r>
      <w:r>
        <w:rPr>
          <w:lang w:eastAsia="zh-CN"/>
        </w:rPr>
        <w:instrText xml:space="preserve"> REF _Ref127119018 \h </w:instrText>
      </w:r>
      <w:r>
        <w:rPr>
          <w:lang w:eastAsia="zh-CN"/>
        </w:rPr>
        <w:fldChar w:fldCharType="separate"/>
      </w:r>
      <w:r>
        <w:rPr>
          <w:b/>
          <w:bCs/>
          <w:lang w:eastAsia="zh-CN"/>
        </w:rPr>
        <w:t>Figure 11</w:t>
      </w:r>
      <w:r>
        <w:rPr>
          <w:lang w:eastAsia="zh-CN"/>
        </w:rPr>
        <w:fldChar w:fldCharType="end"/>
      </w:r>
      <w:r>
        <w:rPr>
          <w:lang w:eastAsia="zh-CN"/>
        </w:rPr>
        <w:t xml:space="preserve"> (B), if the previous PDSCH FDRA indicated in non-SBFD slot is overlapped with UL subband, the PDSCH FDRA can be moved to other RBs to maintain the same total RB number among PDSCH transmission occasion to guarantee the PDSCH reception performance.</w:t>
      </w:r>
      <w:r>
        <w:rPr>
          <w:rFonts w:hint="eastAsia"/>
          <w:lang w:eastAsia="zh-CN"/>
        </w:rPr>
        <w:t xml:space="preserve"> </w:t>
      </w:r>
      <w:r>
        <w:rPr>
          <w:lang w:eastAsia="zh-CN"/>
        </w:rPr>
        <w:t>This option needs more spec effort than Option 1 without scheduling restriction.</w:t>
      </w:r>
    </w:p>
    <w:p>
      <w:pPr>
        <w:jc w:val="center"/>
      </w:pPr>
      <w:r>
        <w:object>
          <v:shape id="_x0000_i1032" o:spt="75" type="#_x0000_t75" style="height:72pt;width:129pt;" o:ole="t" filled="f" o:preferrelative="t" stroked="f" coordsize="21600,21600">
            <v:path/>
            <v:fill on="f" focussize="0,0"/>
            <v:stroke on="f" joinstyle="miter"/>
            <v:imagedata r:id="rId28" o:title=""/>
            <o:lock v:ext="edit" aspectratio="t"/>
            <w10:wrap type="none"/>
            <w10:anchorlock/>
          </v:shape>
          <o:OLEObject Type="Embed" ProgID="Visio.Drawing.15" ShapeID="_x0000_i1032" DrawAspect="Content" ObjectID="_1468075732" r:id="rId27">
            <o:LockedField>false</o:LockedField>
          </o:OLEObject>
        </w:object>
      </w:r>
      <w:r>
        <w:t xml:space="preserve">          </w:t>
      </w:r>
      <w:r>
        <w:object>
          <v:shape id="_x0000_i1033" o:spt="75" type="#_x0000_t75" style="height:72pt;width:132.05pt;" o:ole="t" filled="f" o:preferrelative="t" stroked="f" coordsize="21600,21600">
            <v:path/>
            <v:fill on="f" focussize="0,0"/>
            <v:stroke on="f" joinstyle="miter"/>
            <v:imagedata r:id="rId30" o:title=""/>
            <o:lock v:ext="edit" aspectratio="t"/>
            <w10:wrap type="none"/>
            <w10:anchorlock/>
          </v:shape>
          <o:OLEObject Type="Embed" ProgID="Visio.Drawing.15" ShapeID="_x0000_i1033" DrawAspect="Content" ObjectID="_1468075733" r:id="rId29">
            <o:LockedField>false</o:LockedField>
          </o:OLEObject>
        </w:object>
      </w:r>
    </w:p>
    <w:p>
      <w:pPr>
        <w:jc w:val="center"/>
        <w:rPr>
          <w:lang w:eastAsia="zh-CN"/>
        </w:rPr>
      </w:pPr>
      <w:r>
        <w:rPr>
          <w:lang w:eastAsia="zh-CN"/>
        </w:rPr>
        <w:t xml:space="preserve">(A) </w:t>
      </w:r>
      <w:r>
        <w:rPr>
          <w:rFonts w:hint="eastAsia"/>
          <w:lang w:eastAsia="zh-CN"/>
        </w:rPr>
        <w:t>O</w:t>
      </w:r>
      <w:r>
        <w:rPr>
          <w:lang w:eastAsia="zh-CN"/>
        </w:rPr>
        <w:t>ption 1                               (B) Option 2</w:t>
      </w:r>
    </w:p>
    <w:p>
      <w:pPr>
        <w:jc w:val="center"/>
        <w:rPr>
          <w:b/>
          <w:bCs/>
          <w:lang w:eastAsia="zh-CN"/>
        </w:rPr>
      </w:pPr>
      <w:bookmarkStart w:id="24" w:name="_Ref127119018"/>
      <w:r>
        <w:rPr>
          <w:b/>
          <w:bCs/>
          <w:lang w:eastAsia="zh-CN"/>
        </w:rPr>
        <w:t xml:space="preserve">Figure </w:t>
      </w:r>
      <w:bookmarkEnd w:id="24"/>
      <w:r>
        <w:rPr>
          <w:b/>
          <w:bCs/>
          <w:lang w:eastAsia="zh-CN"/>
        </w:rPr>
        <w:t xml:space="preserve">11. Potential </w:t>
      </w:r>
      <w:r>
        <w:rPr>
          <w:rFonts w:eastAsiaTheme="minorEastAsia"/>
          <w:b/>
          <w:bCs/>
        </w:rPr>
        <w:t>PDSCH slot aggregation methods in SBFD</w:t>
      </w:r>
    </w:p>
    <w:p>
      <w:pPr>
        <w:jc w:val="both"/>
        <w:rPr>
          <w:rFonts w:eastAsiaTheme="minorEastAsia"/>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19</w:t>
      </w:r>
      <w:r>
        <w:rPr>
          <w:b/>
          <w:i/>
          <w:u w:val="single"/>
        </w:rPr>
        <w:fldChar w:fldCharType="end"/>
      </w:r>
      <w:r>
        <w:rPr>
          <w:b/>
          <w:i/>
          <w:u w:val="single"/>
          <w:lang w:eastAsia="zh-CN"/>
        </w:rPr>
        <w:t xml:space="preserve">: </w:t>
      </w:r>
      <w:r>
        <w:rPr>
          <w:rFonts w:eastAsiaTheme="minorEastAsia"/>
        </w:rPr>
        <w:t xml:space="preserve">For </w:t>
      </w:r>
      <w:r>
        <w:rPr>
          <w:rFonts w:hint="eastAsia" w:eastAsiaTheme="minorEastAsia"/>
          <w:lang w:eastAsia="zh-CN"/>
        </w:rPr>
        <w:t>s</w:t>
      </w:r>
      <w:r>
        <w:rPr>
          <w:rFonts w:eastAsiaTheme="minorEastAsia"/>
        </w:rPr>
        <w:t>cheduled/configured PDSCH/PUSCH/PUCCH with repetitions, the following two options can be further studied:</w:t>
      </w:r>
    </w:p>
    <w:p>
      <w:pPr>
        <w:pStyle w:val="134"/>
        <w:numPr>
          <w:ilvl w:val="0"/>
          <w:numId w:val="20"/>
        </w:numPr>
        <w:ind w:leftChars="0"/>
        <w:jc w:val="both"/>
        <w:rPr>
          <w:lang w:eastAsia="zh-CN"/>
        </w:rPr>
      </w:pPr>
      <w:r>
        <w:rPr>
          <w:rFonts w:eastAsiaTheme="minorEastAsia"/>
          <w:lang w:eastAsia="zh-CN"/>
        </w:rPr>
        <w:t xml:space="preserve">Option 1: </w:t>
      </w:r>
      <w:r>
        <w:rPr>
          <w:rFonts w:eastAsiaTheme="minorEastAsia"/>
        </w:rPr>
        <w:t xml:space="preserve">PDSCH/PUSCH/PUCCH repetition </w:t>
      </w:r>
      <w:r>
        <w:rPr>
          <w:lang w:eastAsia="zh-CN"/>
        </w:rPr>
        <w:t>is only across SBFD slots or non-SBFD slots;</w:t>
      </w:r>
    </w:p>
    <w:p>
      <w:pPr>
        <w:pStyle w:val="134"/>
        <w:numPr>
          <w:ilvl w:val="0"/>
          <w:numId w:val="20"/>
        </w:numPr>
        <w:ind w:leftChars="0"/>
        <w:jc w:val="both"/>
        <w:rPr>
          <w:lang w:eastAsia="zh-CN"/>
        </w:rPr>
      </w:pPr>
      <w:r>
        <w:rPr>
          <w:lang w:eastAsia="zh-CN"/>
        </w:rPr>
        <w:t xml:space="preserve">Option 2: </w:t>
      </w:r>
      <w:r>
        <w:rPr>
          <w:rFonts w:eastAsiaTheme="minorEastAsia"/>
        </w:rPr>
        <w:t xml:space="preserve">PDSCH/PUSCH/PUCCH repetition </w:t>
      </w:r>
      <w:r>
        <w:rPr>
          <w:lang w:eastAsia="zh-CN"/>
        </w:rPr>
        <w:t>can be across SBFD slots and non-SBFD slots with some automatic adjustment on FDRA between SBFD slots and non-SBFD slots.</w:t>
      </w:r>
    </w:p>
    <w:p>
      <w:pPr>
        <w:pStyle w:val="134"/>
        <w:ind w:left="420" w:leftChars="0" w:firstLine="0"/>
        <w:jc w:val="both"/>
        <w:rPr>
          <w:lang w:eastAsia="zh-CN"/>
        </w:rPr>
      </w:pPr>
    </w:p>
    <w:p>
      <w:pPr>
        <w:pStyle w:val="134"/>
        <w:numPr>
          <w:ilvl w:val="0"/>
          <w:numId w:val="19"/>
        </w:numPr>
        <w:ind w:leftChars="0"/>
        <w:rPr>
          <w:b/>
          <w:bCs/>
          <w:i/>
          <w:iCs/>
          <w:u w:val="single"/>
        </w:rPr>
      </w:pPr>
      <w:r>
        <w:rPr>
          <w:b/>
          <w:bCs/>
          <w:i/>
          <w:iCs/>
          <w:u w:val="single"/>
        </w:rPr>
        <w:t>TBoMS</w:t>
      </w:r>
    </w:p>
    <w:p>
      <w:pPr>
        <w:jc w:val="both"/>
        <w:rPr>
          <w:b/>
          <w:bCs/>
          <w:i/>
          <w:iCs/>
          <w:u w:val="single"/>
        </w:rPr>
      </w:pPr>
      <w:r>
        <w:rPr>
          <w:lang w:eastAsia="zh-CN"/>
        </w:rPr>
        <w:t>Similarly, the similar two options of UL/DL repetition can also be applied on TBoMS, which the Option 1 is that the TBoMS can only be performed on SBFD slots or non-SBFD slots. And the Option 2 is that the TBoMS can performed across SBFD slots or non-SBFD slots, but the FDRA may need automatic adjustment between SBFD slots and non-SBFD slots. Considering the issue for UL/DL repetition and TBoMS is actually the same, we think the same method should be applied on both cases.</w:t>
      </w:r>
    </w:p>
    <w:p>
      <w:pPr>
        <w:jc w:val="both"/>
        <w:rPr>
          <w:rFonts w:eastAsiaTheme="minorEastAsia"/>
        </w:rPr>
      </w:pPr>
      <w:r>
        <w:rPr>
          <w:b/>
          <w:i/>
          <w:u w:val="single"/>
        </w:rPr>
        <w:t>Proposal 20</w:t>
      </w:r>
      <w:r>
        <w:rPr>
          <w:b/>
          <w:i/>
          <w:u w:val="single"/>
          <w:lang w:eastAsia="zh-CN"/>
        </w:rPr>
        <w:t xml:space="preserve">: </w:t>
      </w:r>
      <w:r>
        <w:rPr>
          <w:rFonts w:eastAsiaTheme="minorEastAsia"/>
        </w:rPr>
        <w:t>For scheduled/configured TBoMS across SBFD symbols and non-SBFD symbols with or without repetition, the following two options can be further studied:</w:t>
      </w:r>
    </w:p>
    <w:p>
      <w:pPr>
        <w:pStyle w:val="134"/>
        <w:numPr>
          <w:ilvl w:val="0"/>
          <w:numId w:val="20"/>
        </w:numPr>
        <w:ind w:leftChars="0"/>
        <w:jc w:val="both"/>
        <w:rPr>
          <w:lang w:eastAsia="zh-CN"/>
        </w:rPr>
      </w:pPr>
      <w:r>
        <w:rPr>
          <w:rFonts w:eastAsiaTheme="minorEastAsia"/>
          <w:lang w:eastAsia="zh-CN"/>
        </w:rPr>
        <w:t xml:space="preserve">Option 1: </w:t>
      </w:r>
      <w:r>
        <w:rPr>
          <w:rFonts w:eastAsiaTheme="minorEastAsia"/>
        </w:rPr>
        <w:t xml:space="preserve">The available slots of TBoMS </w:t>
      </w:r>
      <w:r>
        <w:rPr>
          <w:lang w:eastAsia="zh-CN"/>
        </w:rPr>
        <w:t>are only across SBFD slots or non-SBFD slots;</w:t>
      </w:r>
    </w:p>
    <w:p>
      <w:pPr>
        <w:pStyle w:val="134"/>
        <w:numPr>
          <w:ilvl w:val="0"/>
          <w:numId w:val="20"/>
        </w:numPr>
        <w:ind w:leftChars="0"/>
        <w:jc w:val="both"/>
        <w:rPr>
          <w:lang w:eastAsia="zh-CN"/>
        </w:rPr>
      </w:pPr>
      <w:r>
        <w:rPr>
          <w:lang w:eastAsia="zh-CN"/>
        </w:rPr>
        <w:t xml:space="preserve">Option 2: </w:t>
      </w:r>
      <w:r>
        <w:rPr>
          <w:rFonts w:eastAsiaTheme="minorEastAsia"/>
        </w:rPr>
        <w:t xml:space="preserve">The available slots of TBoMS </w:t>
      </w:r>
      <w:r>
        <w:rPr>
          <w:lang w:eastAsia="zh-CN"/>
        </w:rPr>
        <w:t xml:space="preserve">can be across SBFD slots and non-SBFD slots with some automatic adjustment on FDRA between SBFD slots and non-SBFD slots. The same automatic adjustment on FDRA of </w:t>
      </w:r>
      <w:r>
        <w:rPr>
          <w:rFonts w:eastAsiaTheme="minorEastAsia"/>
        </w:rPr>
        <w:t>PDSCH/PUSCH/PUCCH repetition can be applied on TBoMS.</w:t>
      </w:r>
    </w:p>
    <w:p>
      <w:pPr>
        <w:pStyle w:val="134"/>
        <w:ind w:left="420" w:leftChars="0" w:firstLine="0"/>
        <w:jc w:val="both"/>
        <w:rPr>
          <w:lang w:eastAsia="zh-CN"/>
        </w:rPr>
      </w:pPr>
    </w:p>
    <w:p>
      <w:pPr>
        <w:pStyle w:val="134"/>
        <w:numPr>
          <w:ilvl w:val="0"/>
          <w:numId w:val="19"/>
        </w:numPr>
        <w:ind w:leftChars="0"/>
        <w:rPr>
          <w:b/>
          <w:bCs/>
          <w:i/>
          <w:iCs/>
          <w:u w:val="single"/>
        </w:rPr>
      </w:pPr>
      <w:bookmarkStart w:id="25" w:name="_Hlk126853015"/>
      <w:r>
        <w:rPr>
          <w:b/>
          <w:bCs/>
          <w:i/>
          <w:iCs/>
          <w:u w:val="single"/>
        </w:rPr>
        <w:t>Multi-PUSCH/PDSCH scheduling</w:t>
      </w:r>
    </w:p>
    <w:bookmarkEnd w:id="25"/>
    <w:p>
      <w:pPr>
        <w:jc w:val="both"/>
        <w:rPr>
          <w:lang w:eastAsia="zh-CN"/>
        </w:rPr>
      </w:pPr>
      <w:r>
        <w:rPr>
          <w:lang w:eastAsia="zh-CN"/>
        </w:rPr>
        <w:t>Another case is multi-PUSCH/PDSCH scheduling which due to the multiple PDSCH/PUSCH can be allocated on different slots, e.g., partial on SBFD slots and others on non-SBFD slots, how to indicate the FDRA for multiple PDSCHs/PUSCHs is one issue needs solution.</w:t>
      </w:r>
    </w:p>
    <w:p>
      <w:pPr>
        <w:jc w:val="both"/>
        <w:rPr>
          <w:lang w:eastAsia="zh-CN"/>
        </w:rPr>
      </w:pPr>
      <w:r>
        <w:rPr>
          <w:lang w:eastAsia="zh-CN"/>
        </w:rPr>
        <w:t xml:space="preserve">One solution is to extend the FDRA filed length in the single DCI but will increase the DCI size. Thus, we think the separate interpretation of FDRA filed on </w:t>
      </w:r>
      <w:r>
        <w:rPr>
          <w:rFonts w:eastAsiaTheme="minorEastAsia"/>
        </w:rPr>
        <w:t>SBFD symbol and non-SBFD symbol is a promising solution without impact on DCI size. For example, the shared FDRA field length is based on the maximum bandwidth of DL BWP and DL subband or UL BWP and UL subband and the actual PDSCH/PUSCH frequency allocation interpretation is according the scheduling slot is SBFD slot or non-SBFD slot.</w:t>
      </w:r>
    </w:p>
    <w:p>
      <w:pPr>
        <w:jc w:val="both"/>
        <w:rPr>
          <w:rFonts w:eastAsiaTheme="minorEastAsia"/>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21</w:t>
      </w:r>
      <w:r>
        <w:rPr>
          <w:b/>
          <w:i/>
          <w:u w:val="single"/>
        </w:rPr>
        <w:fldChar w:fldCharType="end"/>
      </w:r>
      <w:r>
        <w:rPr>
          <w:b/>
          <w:i/>
          <w:u w:val="single"/>
          <w:lang w:eastAsia="zh-CN"/>
        </w:rPr>
        <w:t xml:space="preserve">: </w:t>
      </w:r>
      <w:r>
        <w:rPr>
          <w:rFonts w:eastAsiaTheme="minorEastAsia"/>
        </w:rPr>
        <w:t xml:space="preserve">For </w:t>
      </w:r>
      <w:r>
        <w:rPr>
          <w:rFonts w:eastAsiaTheme="minorEastAsia"/>
          <w:lang w:eastAsia="zh-CN"/>
        </w:rPr>
        <w:t>m</w:t>
      </w:r>
      <w:r>
        <w:rPr>
          <w:rFonts w:eastAsiaTheme="minorEastAsia"/>
        </w:rPr>
        <w:t>ulti-PUSCH/PDSCH scheduled by a single DCI in SBFD symbols and non-SBFD symbols, the FDRA field are interpreted differently on SBFD symbol and non-SBFD symbol.</w:t>
      </w:r>
    </w:p>
    <w:p>
      <w:pPr>
        <w:pStyle w:val="3"/>
        <w:ind w:left="0" w:firstLine="0"/>
        <w:jc w:val="both"/>
        <w:rPr>
          <w:rFonts w:ascii="Times New Roman" w:hAnsi="Times New Roman"/>
          <w:lang w:eastAsia="zh-CN"/>
        </w:rPr>
      </w:pPr>
      <w:r>
        <w:rPr>
          <w:rFonts w:ascii="Times New Roman" w:hAnsi="Times New Roman"/>
          <w:lang w:eastAsia="zh-CN"/>
        </w:rPr>
        <w:t>UE collision handling between UL and DL</w:t>
      </w:r>
    </w:p>
    <w:p>
      <w:pPr>
        <w:pStyle w:val="4"/>
        <w:rPr>
          <w:rFonts w:ascii="Times New Roman" w:hAnsi="Times New Roman"/>
          <w:lang w:eastAsia="zh-CN"/>
        </w:rPr>
      </w:pPr>
      <w:r>
        <w:rPr>
          <w:rFonts w:ascii="Times New Roman" w:hAnsi="Times New Roman"/>
          <w:lang w:eastAsia="zh-CN"/>
        </w:rPr>
        <w:t>SFBD operation in SSB symbols</w:t>
      </w:r>
    </w:p>
    <w:p>
      <w:pPr>
        <w:jc w:val="both"/>
        <w:rPr>
          <w:lang w:eastAsia="zh-CN"/>
        </w:rPr>
      </w:pPr>
      <w:r>
        <w:rPr>
          <w:lang w:eastAsia="zh-CN"/>
        </w:rPr>
        <w:t xml:space="preserve">In the current spec for operation in licensed spectrum, the time domain positions of the transmitted SS/PBCH blocks is indicated via system information, and UE does not perform UL transmission if the UL transmission is overlapped with </w:t>
      </w:r>
      <w:r>
        <w:t>SS/PBCH blocks</w:t>
      </w:r>
      <w:r>
        <w:rPr>
          <w:lang w:eastAsia="zh-CN"/>
        </w:rPr>
        <w:t xml:space="preserve"> in time-domain.</w:t>
      </w:r>
      <w:r>
        <w:rPr>
          <w:rFonts w:hint="eastAsia"/>
          <w:lang w:eastAsia="zh-CN"/>
        </w:rPr>
        <w:t xml:space="preserve"> </w:t>
      </w:r>
      <w:r>
        <w:rPr>
          <w:lang w:eastAsia="zh-CN"/>
        </w:rPr>
        <w:t xml:space="preserve">For SBFD operation, it was agreed that study whether SBFD operation in SSB symbols is supported or not in last RAN1 meeting. If it is allowed to operate SBFD in SSB symbols, </w:t>
      </w:r>
      <w:r>
        <w:t xml:space="preserve">the inter-UE inter-subband CLI may impact the SSB measurement of IDLE/INACTIVE UEs, which cannot be controlled by network since network does not know which UE will perform SSB measurement on these symbols. From this point of view, it is safer to not allow </w:t>
      </w:r>
      <w:r>
        <w:rPr>
          <w:lang w:eastAsia="zh-CN"/>
        </w:rPr>
        <w:t xml:space="preserve">the SBFD symbols overlap with the symbols that are indicated for reception of SS/PBCH blocks as in </w:t>
      </w:r>
      <w:r>
        <w:rPr>
          <w:b/>
          <w:bCs/>
          <w:lang w:eastAsia="zh-CN"/>
        </w:rPr>
        <w:fldChar w:fldCharType="begin"/>
      </w:r>
      <w:r>
        <w:rPr>
          <w:b/>
          <w:bCs/>
          <w:lang w:eastAsia="zh-CN"/>
        </w:rPr>
        <w:instrText xml:space="preserve"> REF _Ref127119073 \h  \* MERGEFORMAT </w:instrText>
      </w:r>
      <w:r>
        <w:rPr>
          <w:b/>
          <w:bCs/>
          <w:lang w:eastAsia="zh-CN"/>
        </w:rPr>
        <w:fldChar w:fldCharType="separate"/>
      </w:r>
      <w:r>
        <w:rPr>
          <w:b/>
          <w:bCs/>
        </w:rPr>
        <w:t>Figure 12</w:t>
      </w:r>
      <w:r>
        <w:rPr>
          <w:b/>
          <w:bCs/>
          <w:lang w:eastAsia="zh-CN"/>
        </w:rPr>
        <w:fldChar w:fldCharType="end"/>
      </w:r>
      <w:r>
        <w:t>.</w:t>
      </w:r>
    </w:p>
    <w:p>
      <w:pPr>
        <w:jc w:val="center"/>
      </w:pPr>
      <w:r>
        <w:object>
          <v:shape id="_x0000_i1034" o:spt="75" type="#_x0000_t75" style="height:129.25pt;width:185.7pt;" o:ole="t" filled="f" o:preferrelative="t" stroked="f" coordsize="21600,21600">
            <v:path/>
            <v:fill on="f" focussize="0,0"/>
            <v:stroke on="f" joinstyle="miter"/>
            <v:imagedata r:id="rId32" o:title=""/>
            <o:lock v:ext="edit" aspectratio="t"/>
            <w10:wrap type="none"/>
            <w10:anchorlock/>
          </v:shape>
          <o:OLEObject Type="Embed" ProgID="Visio.Drawing.15" ShapeID="_x0000_i1034" DrawAspect="Content" ObjectID="_1468075734" r:id="rId31">
            <o:LockedField>false</o:LockedField>
          </o:OLEObject>
        </w:object>
      </w:r>
    </w:p>
    <w:p>
      <w:pPr>
        <w:pStyle w:val="28"/>
        <w:jc w:val="center"/>
        <w:rPr>
          <w:rFonts w:ascii="Times New Roman" w:hAnsi="Times New Roman"/>
          <w:lang w:eastAsia="zh-CN"/>
        </w:rPr>
      </w:pPr>
      <w:bookmarkStart w:id="26" w:name="_Ref127119073"/>
      <w:r>
        <w:rPr>
          <w:rFonts w:ascii="Times New Roman" w:hAnsi="Times New Roman"/>
          <w:bCs/>
        </w:rPr>
        <w:t xml:space="preserve">Figure </w:t>
      </w:r>
      <w:r>
        <w:rPr>
          <w:rFonts w:ascii="Times New Roman" w:hAnsi="Times New Roman"/>
          <w:bCs/>
        </w:rPr>
        <w:fldChar w:fldCharType="begin"/>
      </w:r>
      <w:r>
        <w:rPr>
          <w:rFonts w:ascii="Times New Roman" w:hAnsi="Times New Roman"/>
          <w:bCs/>
        </w:rPr>
        <w:instrText xml:space="preserve"> SEQ Figure \* ARABIC </w:instrText>
      </w:r>
      <w:r>
        <w:rPr>
          <w:rFonts w:ascii="Times New Roman" w:hAnsi="Times New Roman"/>
          <w:bCs/>
        </w:rPr>
        <w:fldChar w:fldCharType="separate"/>
      </w:r>
      <w:r>
        <w:rPr>
          <w:rFonts w:ascii="Times New Roman" w:hAnsi="Times New Roman"/>
          <w:bCs/>
        </w:rPr>
        <w:t>12</w:t>
      </w:r>
      <w:r>
        <w:rPr>
          <w:rFonts w:ascii="Times New Roman" w:hAnsi="Times New Roman"/>
          <w:bCs/>
        </w:rPr>
        <w:fldChar w:fldCharType="end"/>
      </w:r>
      <w:bookmarkEnd w:id="26"/>
      <w:r>
        <w:rPr>
          <w:rFonts w:ascii="Times New Roman" w:hAnsi="Times New Roman"/>
          <w:bCs/>
        </w:rPr>
        <w:t xml:space="preserve">. </w:t>
      </w:r>
      <w:r>
        <w:rPr>
          <w:rFonts w:ascii="Times New Roman" w:hAnsi="Times New Roman"/>
          <w:lang w:eastAsia="zh-CN"/>
        </w:rPr>
        <w:t>Time-domain overlapping between SSB and UL transmission</w:t>
      </w:r>
    </w:p>
    <w:p>
      <w:pPr>
        <w:jc w:val="both"/>
        <w:rPr>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22</w:t>
      </w:r>
      <w:r>
        <w:rPr>
          <w:b/>
          <w:i/>
          <w:u w:val="single"/>
        </w:rPr>
        <w:fldChar w:fldCharType="end"/>
      </w:r>
      <w:r>
        <w:rPr>
          <w:b/>
          <w:i/>
          <w:u w:val="single"/>
          <w:lang w:eastAsia="zh-CN"/>
        </w:rPr>
        <w:t xml:space="preserve">: </w:t>
      </w:r>
      <w:r>
        <w:rPr>
          <w:bCs/>
          <w:iCs/>
          <w:lang w:eastAsia="zh-CN"/>
        </w:rPr>
        <w:t>I</w:t>
      </w:r>
      <w:r>
        <w:t xml:space="preserve">t is preferred to not allow </w:t>
      </w:r>
      <w:r>
        <w:rPr>
          <w:lang w:eastAsia="zh-CN"/>
        </w:rPr>
        <w:t>the SBFD symbols overlap with the symbols that are indicated for reception of SS/PBCH blocks</w:t>
      </w:r>
      <w:r>
        <w:rPr>
          <w:bCs/>
          <w:lang w:eastAsia="zh-CN"/>
        </w:rPr>
        <w:t>.</w:t>
      </w:r>
    </w:p>
    <w:p>
      <w:pPr>
        <w:pStyle w:val="4"/>
        <w:rPr>
          <w:rFonts w:ascii="Times New Roman" w:hAnsi="Times New Roman"/>
          <w:lang w:eastAsia="zh-CN"/>
        </w:rPr>
      </w:pPr>
      <w:r>
        <w:rPr>
          <w:rFonts w:ascii="Times New Roman" w:hAnsi="Times New Roman"/>
          <w:lang w:eastAsia="zh-CN"/>
        </w:rPr>
        <w:t>SBFD operation in PRACH symbols</w:t>
      </w:r>
    </w:p>
    <w:p>
      <w:pPr>
        <w:jc w:val="both"/>
        <w:rPr>
          <w:lang w:eastAsia="zh-CN"/>
        </w:rPr>
      </w:pPr>
      <w:r>
        <w:rPr>
          <w:lang w:eastAsia="zh-CN"/>
        </w:rPr>
        <w:t xml:space="preserve">Similar to the UL transmission restriction in SSB symbols, there is also DL reception restriction in PRACH symbols, but if the RO is only configured in fixed UL slots in cell-specific TDD DL/UL configuration, it doesn’t have such collision. Therefore, the collision of DL reception in PRACH symbols only exists when RO is configured in SBFD symbols as in </w:t>
      </w:r>
      <w:r>
        <w:rPr>
          <w:b/>
          <w:bCs/>
          <w:lang w:eastAsia="zh-CN"/>
        </w:rPr>
        <w:fldChar w:fldCharType="begin"/>
      </w:r>
      <w:r>
        <w:rPr>
          <w:b/>
          <w:bCs/>
          <w:lang w:eastAsia="zh-CN"/>
        </w:rPr>
        <w:instrText xml:space="preserve"> REF _Ref127119148 \h  \* MERGEFORMAT </w:instrText>
      </w:r>
      <w:r>
        <w:rPr>
          <w:b/>
          <w:bCs/>
          <w:lang w:eastAsia="zh-CN"/>
        </w:rPr>
        <w:fldChar w:fldCharType="separate"/>
      </w:r>
      <w:r>
        <w:rPr>
          <w:b/>
          <w:bCs/>
        </w:rPr>
        <w:t>Figure 13</w:t>
      </w:r>
      <w:r>
        <w:rPr>
          <w:b/>
          <w:bCs/>
          <w:lang w:eastAsia="zh-CN"/>
        </w:rPr>
        <w:fldChar w:fldCharType="end"/>
      </w:r>
      <w:r>
        <w:rPr>
          <w:lang w:eastAsia="zh-CN"/>
        </w:rPr>
        <w:t xml:space="preserve">. </w:t>
      </w:r>
    </w:p>
    <w:p>
      <w:pPr>
        <w:jc w:val="center"/>
      </w:pPr>
      <w:r>
        <w:object>
          <v:shape id="_x0000_i1035" o:spt="75" type="#_x0000_t75" style="height:121.2pt;width:186.25pt;" o:ole="t" filled="f" o:preferrelative="t" stroked="f" coordsize="21600,21600">
            <v:path/>
            <v:fill on="f" focussize="0,0"/>
            <v:stroke on="f" joinstyle="miter"/>
            <v:imagedata r:id="rId34" cropbottom="4147f" o:title=""/>
            <o:lock v:ext="edit" aspectratio="t"/>
            <w10:wrap type="none"/>
            <w10:anchorlock/>
          </v:shape>
          <o:OLEObject Type="Embed" ProgID="Visio.Drawing.15" ShapeID="_x0000_i1035" DrawAspect="Content" ObjectID="_1468075735" r:id="rId33">
            <o:LockedField>false</o:LockedField>
          </o:OLEObject>
        </w:object>
      </w:r>
    </w:p>
    <w:p>
      <w:pPr>
        <w:pStyle w:val="28"/>
        <w:jc w:val="center"/>
        <w:rPr>
          <w:rFonts w:ascii="Times New Roman" w:hAnsi="Times New Roman"/>
          <w:lang w:eastAsia="zh-CN"/>
        </w:rPr>
      </w:pPr>
      <w:bookmarkStart w:id="27" w:name="_Ref127119148"/>
      <w:r>
        <w:rPr>
          <w:rFonts w:ascii="Times New Roman" w:hAnsi="Times New Roman"/>
          <w:bCs/>
        </w:rPr>
        <w:t xml:space="preserve">Figure </w:t>
      </w:r>
      <w:r>
        <w:rPr>
          <w:rFonts w:ascii="Times New Roman" w:hAnsi="Times New Roman"/>
          <w:bCs/>
        </w:rPr>
        <w:fldChar w:fldCharType="begin"/>
      </w:r>
      <w:r>
        <w:rPr>
          <w:rFonts w:ascii="Times New Roman" w:hAnsi="Times New Roman"/>
          <w:bCs/>
        </w:rPr>
        <w:instrText xml:space="preserve"> SEQ Figure \* ARABIC </w:instrText>
      </w:r>
      <w:r>
        <w:rPr>
          <w:rFonts w:ascii="Times New Roman" w:hAnsi="Times New Roman"/>
          <w:bCs/>
        </w:rPr>
        <w:fldChar w:fldCharType="separate"/>
      </w:r>
      <w:r>
        <w:rPr>
          <w:rFonts w:ascii="Times New Roman" w:hAnsi="Times New Roman"/>
          <w:bCs/>
        </w:rPr>
        <w:t>13</w:t>
      </w:r>
      <w:r>
        <w:rPr>
          <w:rFonts w:ascii="Times New Roman" w:hAnsi="Times New Roman"/>
        </w:rPr>
        <w:fldChar w:fldCharType="end"/>
      </w:r>
      <w:bookmarkEnd w:id="27"/>
      <w:r>
        <w:rPr>
          <w:rFonts w:ascii="Times New Roman" w:hAnsi="Times New Roman"/>
          <w:bCs/>
        </w:rPr>
        <w:t xml:space="preserve">. </w:t>
      </w:r>
      <w:r>
        <w:rPr>
          <w:rFonts w:ascii="Times New Roman" w:hAnsi="Times New Roman"/>
          <w:lang w:eastAsia="zh-CN"/>
        </w:rPr>
        <w:t>Time-domain overlapping between RO and DL reception</w:t>
      </w:r>
    </w:p>
    <w:p>
      <w:pPr>
        <w:jc w:val="both"/>
        <w:rPr>
          <w:lang w:eastAsia="zh-CN"/>
        </w:rPr>
      </w:pPr>
      <w:bookmarkStart w:id="28" w:name="_Hlk110267131"/>
      <w:r>
        <w:rPr>
          <w:lang w:eastAsia="zh-CN"/>
        </w:rPr>
        <w:t>Companies provided some motivations to configure RO in UL subband in SBFD symbols including reducing the latency of random access, improving PRACH coverage and offloading random access</w:t>
      </w:r>
      <w:bookmarkEnd w:id="28"/>
      <w:r>
        <w:rPr>
          <w:lang w:eastAsia="zh-CN"/>
        </w:rPr>
        <w:t xml:space="preserve"> from fixed UL slots to SBFD slots, but these aspects still need more analysis and justification. If RO is allowed to be configured in SBFD symbols, when the aggressor UE transmits PRACH, the inter-UE inter-subband CLI will impact the DL reception of the victim UE. For </w:t>
      </w:r>
      <w:r>
        <w:rPr>
          <w:lang w:val="en-US" w:eastAsia="zh-CN"/>
        </w:rPr>
        <w:t>contention-base RACH, due to the uncertainty of UE transmitting PRACH, it is hard or not possible for gNB to mitigate the inter-UE inter-subband CLI. But for contention-free RACH, the PRACH transmission is controlled by gNB and the inter-UE inter-subband CLI can be avoided and mitigated by gNB’s proper scheduling.</w:t>
      </w:r>
      <w:r>
        <w:rPr>
          <w:lang w:eastAsia="zh-CN"/>
        </w:rPr>
        <w:t xml:space="preserve"> </w:t>
      </w:r>
      <w:r>
        <w:rPr>
          <w:lang w:val="en-US" w:eastAsia="zh-CN"/>
        </w:rPr>
        <w:t xml:space="preserve">Therefore, we think if ROs are allowed to be configured </w:t>
      </w:r>
      <w:r>
        <w:rPr>
          <w:lang w:eastAsia="zh-CN"/>
        </w:rPr>
        <w:t xml:space="preserve">in UL subband in SBFD symbols, they can be used for </w:t>
      </w:r>
      <w:r>
        <w:rPr>
          <w:lang w:val="en-US" w:eastAsia="zh-CN"/>
        </w:rPr>
        <w:t>contention-free RACH but not for contention-based RACH.</w:t>
      </w:r>
    </w:p>
    <w:p>
      <w:pPr>
        <w:jc w:val="both"/>
        <w:rPr>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23</w:t>
      </w:r>
      <w:r>
        <w:rPr>
          <w:b/>
          <w:i/>
          <w:u w:val="single"/>
        </w:rPr>
        <w:fldChar w:fldCharType="end"/>
      </w:r>
      <w:r>
        <w:rPr>
          <w:b/>
          <w:i/>
          <w:u w:val="single"/>
          <w:lang w:eastAsia="zh-CN"/>
        </w:rPr>
        <w:t xml:space="preserve">: </w:t>
      </w:r>
      <w:r>
        <w:rPr>
          <w:lang w:val="en-US" w:eastAsia="zh-CN"/>
        </w:rPr>
        <w:t xml:space="preserve">ROs </w:t>
      </w:r>
      <w:r>
        <w:rPr>
          <w:lang w:eastAsia="zh-CN"/>
        </w:rPr>
        <w:t xml:space="preserve">for </w:t>
      </w:r>
      <w:r>
        <w:rPr>
          <w:lang w:val="en-US" w:eastAsia="zh-CN"/>
        </w:rPr>
        <w:t xml:space="preserve">contention-free RACH can be configured </w:t>
      </w:r>
      <w:r>
        <w:rPr>
          <w:lang w:eastAsia="zh-CN"/>
        </w:rPr>
        <w:t xml:space="preserve">in UL subband in SBFD symbols. </w:t>
      </w:r>
      <w:r>
        <w:rPr>
          <w:lang w:val="en-US" w:eastAsia="zh-CN"/>
        </w:rPr>
        <w:t xml:space="preserve">ROs </w:t>
      </w:r>
      <w:r>
        <w:rPr>
          <w:lang w:eastAsia="zh-CN"/>
        </w:rPr>
        <w:t xml:space="preserve">for </w:t>
      </w:r>
      <w:r>
        <w:rPr>
          <w:lang w:val="en-US" w:eastAsia="zh-CN"/>
        </w:rPr>
        <w:t xml:space="preserve">contention-based RACH cannot be configured </w:t>
      </w:r>
      <w:r>
        <w:rPr>
          <w:lang w:eastAsia="zh-CN"/>
        </w:rPr>
        <w:t>in UL subband in SBFD symbols.</w:t>
      </w:r>
    </w:p>
    <w:p>
      <w:pPr>
        <w:pStyle w:val="4"/>
        <w:jc w:val="both"/>
        <w:rPr>
          <w:rFonts w:ascii="Times New Roman" w:hAnsi="Times New Roman"/>
          <w:lang w:eastAsia="zh-CN"/>
        </w:rPr>
      </w:pPr>
      <w:r>
        <w:rPr>
          <w:rFonts w:ascii="Times New Roman" w:hAnsi="Times New Roman"/>
          <w:lang w:eastAsia="zh-CN"/>
        </w:rPr>
        <w:t>UL/DL collision in SBFD symbol</w:t>
      </w:r>
    </w:p>
    <w:p>
      <w:pPr>
        <w:rPr>
          <w:lang w:eastAsia="zh-CN"/>
        </w:rPr>
      </w:pPr>
      <w:r>
        <w:rPr>
          <w:lang w:eastAsia="zh-CN"/>
        </w:rPr>
        <w:t>In FL summary [4], two types of UL/DL collision are summarized as the following:</w:t>
      </w:r>
    </w:p>
    <w:p>
      <w:pPr>
        <w:pStyle w:val="134"/>
        <w:numPr>
          <w:ilvl w:val="0"/>
          <w:numId w:val="21"/>
        </w:numPr>
        <w:spacing w:before="0" w:after="120"/>
        <w:ind w:leftChars="0"/>
        <w:jc w:val="both"/>
        <w:rPr>
          <w:rFonts w:ascii="Times New Roman" w:hAnsi="Times New Roman"/>
        </w:rPr>
      </w:pPr>
      <w:r>
        <w:rPr>
          <w:rFonts w:ascii="Times New Roman" w:hAnsi="Times New Roman"/>
        </w:rPr>
        <w:t>Type A: Collision between UL transmissions and DL receptions in the same SBFD symbol</w:t>
      </w:r>
    </w:p>
    <w:p>
      <w:pPr>
        <w:pStyle w:val="134"/>
        <w:numPr>
          <w:ilvl w:val="0"/>
          <w:numId w:val="21"/>
        </w:numPr>
        <w:spacing w:before="0" w:after="120"/>
        <w:ind w:leftChars="0"/>
        <w:jc w:val="both"/>
        <w:rPr>
          <w:rFonts w:ascii="Times New Roman" w:hAnsi="Times New Roman"/>
        </w:rPr>
      </w:pPr>
      <w:r>
        <w:rPr>
          <w:rFonts w:ascii="Times New Roman" w:hAnsi="Times New Roman"/>
        </w:rPr>
        <w:t xml:space="preserve">Type B: Collision between transmissions/receptions with transmission direction of subbands </w:t>
      </w:r>
    </w:p>
    <w:p>
      <w:pPr>
        <w:pStyle w:val="134"/>
        <w:numPr>
          <w:ilvl w:val="0"/>
          <w:numId w:val="22"/>
        </w:numPr>
        <w:ind w:leftChars="0"/>
        <w:rPr>
          <w:b/>
          <w:bCs/>
          <w:i/>
          <w:iCs/>
          <w:u w:val="single"/>
        </w:rPr>
      </w:pPr>
      <w:r>
        <w:rPr>
          <w:b/>
          <w:bCs/>
          <w:i/>
          <w:iCs/>
          <w:u w:val="single"/>
        </w:rPr>
        <w:t>Type A collision</w:t>
      </w:r>
    </w:p>
    <w:p>
      <w:r>
        <w:t>The following cases are discussed by companies for Type A collision:</w:t>
      </w:r>
    </w:p>
    <w:p>
      <w:pPr>
        <w:pStyle w:val="134"/>
        <w:numPr>
          <w:ilvl w:val="0"/>
          <w:numId w:val="23"/>
        </w:numPr>
        <w:spacing w:before="0" w:after="120"/>
        <w:ind w:leftChars="0"/>
        <w:jc w:val="both"/>
        <w:rPr>
          <w:rFonts w:ascii="Times New Roman" w:hAnsi="Times New Roman" w:eastAsia="Malgun Gothic"/>
        </w:rPr>
      </w:pPr>
      <w:r>
        <w:rPr>
          <w:rFonts w:ascii="Times New Roman" w:hAnsi="Times New Roman" w:eastAsia="Malgun Gothic"/>
        </w:rPr>
        <w:t>Collision between dynamic UL transmissions and dynamic DL receptions</w:t>
      </w:r>
    </w:p>
    <w:p>
      <w:pPr>
        <w:pStyle w:val="134"/>
        <w:numPr>
          <w:ilvl w:val="0"/>
          <w:numId w:val="23"/>
        </w:numPr>
        <w:spacing w:before="0" w:after="120"/>
        <w:ind w:leftChars="0"/>
        <w:jc w:val="both"/>
        <w:rPr>
          <w:rFonts w:ascii="Times New Roman" w:hAnsi="Times New Roman" w:eastAsia="Malgun Gothic"/>
        </w:rPr>
      </w:pPr>
      <w:r>
        <w:rPr>
          <w:rFonts w:ascii="Times New Roman" w:hAnsi="Times New Roman" w:eastAsia="Malgun Gothic"/>
        </w:rPr>
        <w:t xml:space="preserve">Collision between dynamic DL receptions and </w:t>
      </w:r>
      <w:r>
        <w:rPr>
          <w:rFonts w:ascii="Times New Roman" w:hAnsi="Times New Roman"/>
        </w:rPr>
        <w:t>semi-statically</w:t>
      </w:r>
      <w:r>
        <w:rPr>
          <w:rFonts w:ascii="Times New Roman" w:hAnsi="Times New Roman" w:eastAsia="Malgun Gothic"/>
        </w:rPr>
        <w:t xml:space="preserve"> configured UL transmissions</w:t>
      </w:r>
      <w:r>
        <w:rPr>
          <w:rFonts w:ascii="Times New Roman" w:hAnsi="Times New Roman"/>
        </w:rPr>
        <w:t xml:space="preserve"> </w:t>
      </w:r>
    </w:p>
    <w:p>
      <w:pPr>
        <w:pStyle w:val="134"/>
        <w:numPr>
          <w:ilvl w:val="0"/>
          <w:numId w:val="23"/>
        </w:numPr>
        <w:spacing w:before="0" w:after="120"/>
        <w:ind w:leftChars="0"/>
        <w:jc w:val="both"/>
        <w:rPr>
          <w:rFonts w:ascii="Times New Roman" w:hAnsi="Times New Roman" w:eastAsia="Malgun Gothic"/>
        </w:rPr>
      </w:pPr>
      <w:r>
        <w:rPr>
          <w:rFonts w:ascii="Times New Roman" w:hAnsi="Times New Roman" w:eastAsia="Malgun Gothic"/>
        </w:rPr>
        <w:t xml:space="preserve">Collision between dynamic UL transmissions and </w:t>
      </w:r>
      <w:r>
        <w:rPr>
          <w:rFonts w:ascii="Times New Roman" w:hAnsi="Times New Roman"/>
        </w:rPr>
        <w:t>semi-statically</w:t>
      </w:r>
      <w:r>
        <w:rPr>
          <w:rFonts w:ascii="Times New Roman" w:hAnsi="Times New Roman" w:eastAsia="Malgun Gothic"/>
        </w:rPr>
        <w:t xml:space="preserve"> configured DL receptions</w:t>
      </w:r>
      <w:r>
        <w:rPr>
          <w:rFonts w:ascii="Times New Roman" w:hAnsi="Times New Roman"/>
        </w:rPr>
        <w:t xml:space="preserve"> </w:t>
      </w:r>
    </w:p>
    <w:p>
      <w:pPr>
        <w:pStyle w:val="134"/>
        <w:numPr>
          <w:ilvl w:val="0"/>
          <w:numId w:val="23"/>
        </w:numPr>
        <w:suppressAutoHyphens/>
        <w:spacing w:before="0" w:after="120"/>
        <w:ind w:leftChars="0"/>
        <w:jc w:val="both"/>
        <w:rPr>
          <w:rFonts w:ascii="Times New Roman" w:hAnsi="Times New Roman" w:eastAsia="Malgun Gothic"/>
        </w:rPr>
      </w:pPr>
      <w:r>
        <w:rPr>
          <w:rFonts w:ascii="Times New Roman" w:hAnsi="Times New Roman" w:eastAsia="Malgun Gothic"/>
        </w:rPr>
        <w:t xml:space="preserve">Collision between </w:t>
      </w:r>
      <w:r>
        <w:rPr>
          <w:rFonts w:ascii="Times New Roman" w:hAnsi="Times New Roman"/>
        </w:rPr>
        <w:t xml:space="preserve">semi-statically </w:t>
      </w:r>
      <w:r>
        <w:rPr>
          <w:rFonts w:ascii="Times New Roman" w:hAnsi="Times New Roman" w:eastAsia="Malgun Gothic"/>
        </w:rPr>
        <w:t xml:space="preserve">configured UL transmissions and </w:t>
      </w:r>
      <w:r>
        <w:rPr>
          <w:rFonts w:ascii="Times New Roman" w:hAnsi="Times New Roman"/>
        </w:rPr>
        <w:t>semi-statically</w:t>
      </w:r>
      <w:r>
        <w:rPr>
          <w:rFonts w:ascii="Times New Roman" w:hAnsi="Times New Roman" w:eastAsia="Malgun Gothic"/>
        </w:rPr>
        <w:t xml:space="preserve"> configured DL receptions</w:t>
      </w:r>
    </w:p>
    <w:p>
      <w:pPr>
        <w:suppressAutoHyphens/>
        <w:spacing w:before="0" w:after="120"/>
        <w:jc w:val="both"/>
        <w:rPr>
          <w:rFonts w:eastAsia="Malgun Gothic"/>
        </w:rPr>
      </w:pPr>
      <w:r>
        <w:rPr>
          <w:rFonts w:eastAsia="Malgun Gothic"/>
        </w:rPr>
        <w:t xml:space="preserve">For Type A-1 collision, we think this is an error case and should be avoided by gNB. For Type A-2/A-3 collision, the dynamic scheduling should be prioritized than semi-statically transmission/reception as legacy TDD frame structure design. </w:t>
      </w:r>
    </w:p>
    <w:p>
      <w:pPr>
        <w:suppressAutoHyphens/>
        <w:spacing w:before="0" w:after="120"/>
        <w:jc w:val="both"/>
        <w:rPr>
          <w:lang w:eastAsia="zh-CN"/>
        </w:rPr>
      </w:pPr>
      <w:r>
        <w:rPr>
          <w:rFonts w:eastAsia="Malgun Gothic"/>
        </w:rPr>
        <w:t xml:space="preserve">Regarding the Type A-4 collision, we also think this collision case may occur in SBFD operation. </w:t>
      </w:r>
      <w:r>
        <w:rPr>
          <w:lang w:eastAsia="zh-CN"/>
        </w:rPr>
        <w:t xml:space="preserve">As the discussion in section 3.1, the step 1 signalling is used to indicate SBFD slots/symbols which can override the fixed DL slots/symbols in cell-specific TDD UL/DL configuration which has the similar function as “flexible” slots/symbols in Rel-15 NR design. Considering both UL subband and DL subband exist in the same SBFD symbol/slot, it should be allowed that some higher layer configured UL channel/signals and DL channel/signals can be configured in the same SBFD symbols as in </w:t>
      </w:r>
      <w:r>
        <w:rPr>
          <w:b/>
          <w:bCs/>
          <w:lang w:eastAsia="zh-CN"/>
        </w:rPr>
        <w:fldChar w:fldCharType="begin"/>
      </w:r>
      <w:r>
        <w:rPr>
          <w:b/>
          <w:bCs/>
          <w:lang w:eastAsia="zh-CN"/>
        </w:rPr>
        <w:instrText xml:space="preserve"> REF _Ref127119148 \h  \* MERGEFORMAT </w:instrText>
      </w:r>
      <w:r>
        <w:rPr>
          <w:b/>
          <w:bCs/>
          <w:lang w:eastAsia="zh-CN"/>
        </w:rPr>
        <w:fldChar w:fldCharType="separate"/>
      </w:r>
      <w:r>
        <w:rPr>
          <w:b/>
          <w:bCs/>
        </w:rPr>
        <w:t>Figure 14</w:t>
      </w:r>
      <w:r>
        <w:rPr>
          <w:b/>
          <w:bCs/>
          <w:lang w:eastAsia="zh-CN"/>
        </w:rPr>
        <w:fldChar w:fldCharType="end"/>
      </w:r>
      <w:r>
        <w:rPr>
          <w:lang w:eastAsia="zh-CN"/>
        </w:rPr>
        <w:t>, e.g., the periodic CSI-RS and periodic SRS in the same SBFD symbols. From our view, at least the collision between periodic CSI-RS/CORESET and periodic SRS/CG PUSCH can be further studied in SBFD. In order to accurate the CSI more efficiently, different CSI-RS/SRS resource can be configured separately for SFBD symbol and fixed DL/UL symbols, thus the collision between periodic CSI-RS/CORESET between SRS should be studied. In addition, CG PUSCH resources can also be configured in SBFD symbol/slot to improve the UL transmission occasion. For SR PUCCH or periodic PUCCH for CSI feedback, it has small motivation to configure these PUCCH resources in SBFD symbols considering the resource reservation overhead and the periodicity of UE triggering SR or feedbacking CSI.</w:t>
      </w:r>
    </w:p>
    <w:p>
      <w:pPr>
        <w:jc w:val="both"/>
        <w:rPr>
          <w:rFonts w:eastAsiaTheme="minorEastAsia"/>
          <w:lang w:eastAsia="zh-CN"/>
        </w:rPr>
      </w:pPr>
      <w:r>
        <w:rPr>
          <w:lang w:eastAsia="zh-CN"/>
        </w:rPr>
        <w:t xml:space="preserve">As the discussion in section 3.1.1, we propose </w:t>
      </w:r>
      <w:r>
        <w:rPr>
          <w:rFonts w:eastAsiaTheme="minorEastAsia"/>
          <w:lang w:eastAsia="zh-CN"/>
        </w:rPr>
        <w:t xml:space="preserve">UE-specific RRC signalling or scheduling DCI or SFI to be used to indicate the DL or UL link direction for SBFD slots/symbols and this method can be used to solve most the collision issues between </w:t>
      </w:r>
      <w:r>
        <w:rPr>
          <w:lang w:eastAsia="zh-CN"/>
        </w:rPr>
        <w:t xml:space="preserve">higher layer configured UL channel/signals and DL channel/signals as well. For a special case that </w:t>
      </w:r>
      <w:r>
        <w:rPr>
          <w:rFonts w:eastAsiaTheme="minorEastAsia"/>
          <w:lang w:eastAsia="zh-CN"/>
        </w:rPr>
        <w:t xml:space="preserve">UE-specific RRC signalling indicates “F”, and SFI indicates “F”, and there is no scheduling DCI, a default rule (e.g., </w:t>
      </w:r>
      <w:r>
        <w:rPr>
          <w:lang w:eastAsia="zh-CN"/>
        </w:rPr>
        <w:t>higher layer configured DL or higher layer configured UL has higher priority</w:t>
      </w:r>
      <w:r>
        <w:rPr>
          <w:rFonts w:eastAsiaTheme="minorEastAsia"/>
          <w:lang w:eastAsia="zh-CN"/>
        </w:rPr>
        <w:t xml:space="preserve">) can be further study. </w:t>
      </w:r>
    </w:p>
    <w:p>
      <w:pPr>
        <w:jc w:val="both"/>
        <w:rPr>
          <w:rFonts w:eastAsiaTheme="minorEastAsia"/>
          <w:lang w:eastAsia="zh-CN"/>
        </w:rPr>
      </w:pPr>
      <w:r>
        <w:rPr>
          <w:rFonts w:eastAsiaTheme="minorEastAsia"/>
          <w:lang w:eastAsia="zh-CN"/>
        </w:rPr>
        <w:t xml:space="preserve">Based on the above discussion, </w:t>
      </w:r>
      <w:r>
        <w:rPr>
          <w:lang w:eastAsia="zh-CN"/>
        </w:rPr>
        <w:t>only the same UL or DL higher layer configured transmission/reception as indicated link direction of one SBFD symbol/slot are allowed.</w:t>
      </w:r>
    </w:p>
    <w:p>
      <w:pPr>
        <w:jc w:val="center"/>
        <w:rPr>
          <w:lang w:eastAsia="zh-CN"/>
        </w:rPr>
      </w:pPr>
      <w:r>
        <w:object>
          <v:shape id="_x0000_i1036" o:spt="75" type="#_x0000_t75" style="height:125.65pt;width:190.15pt;" o:ole="t" filled="f" o:preferrelative="t" stroked="f" coordsize="21600,21600">
            <v:path/>
            <v:fill on="f" focussize="0,0"/>
            <v:stroke on="f" joinstyle="miter"/>
            <v:imagedata r:id="rId36" cropbottom="3768f" o:title=""/>
            <o:lock v:ext="edit" aspectratio="t"/>
            <w10:wrap type="none"/>
            <w10:anchorlock/>
          </v:shape>
          <o:OLEObject Type="Embed" ProgID="Visio.Drawing.15" ShapeID="_x0000_i1036" DrawAspect="Content" ObjectID="_1468075736" r:id="rId35">
            <o:LockedField>false</o:LockedField>
          </o:OLEObject>
        </w:object>
      </w:r>
    </w:p>
    <w:p>
      <w:pPr>
        <w:pStyle w:val="28"/>
        <w:jc w:val="center"/>
        <w:rPr>
          <w:lang w:eastAsia="zh-CN"/>
        </w:rPr>
      </w:pPr>
      <w:r>
        <w:rPr>
          <w:rFonts w:ascii="Times New Roman" w:hAnsi="Times New Roman"/>
          <w:bCs/>
        </w:rPr>
        <w:t xml:space="preserve">Figure </w:t>
      </w:r>
      <w:r>
        <w:rPr>
          <w:rFonts w:ascii="Times New Roman" w:hAnsi="Times New Roman"/>
          <w:bCs/>
        </w:rPr>
        <w:fldChar w:fldCharType="begin"/>
      </w:r>
      <w:r>
        <w:rPr>
          <w:rFonts w:ascii="Times New Roman" w:hAnsi="Times New Roman"/>
          <w:bCs/>
        </w:rPr>
        <w:instrText xml:space="preserve"> SEQ Figure \* ARABIC </w:instrText>
      </w:r>
      <w:r>
        <w:rPr>
          <w:rFonts w:ascii="Times New Roman" w:hAnsi="Times New Roman"/>
          <w:bCs/>
        </w:rPr>
        <w:fldChar w:fldCharType="separate"/>
      </w:r>
      <w:r>
        <w:rPr>
          <w:rFonts w:ascii="Times New Roman" w:hAnsi="Times New Roman"/>
          <w:bCs/>
        </w:rPr>
        <w:t>14</w:t>
      </w:r>
      <w:r>
        <w:rPr>
          <w:rFonts w:ascii="Times New Roman" w:hAnsi="Times New Roman"/>
        </w:rPr>
        <w:fldChar w:fldCharType="end"/>
      </w:r>
      <w:r>
        <w:rPr>
          <w:rFonts w:ascii="Times New Roman" w:hAnsi="Times New Roman"/>
          <w:bCs/>
        </w:rPr>
        <w:t xml:space="preserve">. </w:t>
      </w:r>
      <w:r>
        <w:rPr>
          <w:rFonts w:ascii="Times New Roman" w:hAnsi="Times New Roman"/>
          <w:lang w:eastAsia="zh-CN"/>
        </w:rPr>
        <w:t>Time-domain overlapping between higher layer configured UL transmission and DL reception</w:t>
      </w:r>
    </w:p>
    <w:p>
      <w:pPr>
        <w:tabs>
          <w:tab w:val="left" w:pos="0"/>
        </w:tabs>
        <w:spacing w:before="0" w:after="120"/>
        <w:jc w:val="both"/>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24</w:t>
      </w:r>
      <w:r>
        <w:rPr>
          <w:b/>
          <w:i/>
          <w:u w:val="single"/>
        </w:rPr>
        <w:fldChar w:fldCharType="end"/>
      </w:r>
      <w:r>
        <w:rPr>
          <w:b/>
          <w:i/>
          <w:u w:val="single"/>
          <w:lang w:eastAsia="zh-CN"/>
        </w:rPr>
        <w:t>:</w:t>
      </w:r>
      <w:r>
        <w:rPr>
          <w:bCs/>
          <w:iCs/>
          <w:lang w:eastAsia="zh-CN"/>
        </w:rPr>
        <w:t xml:space="preserve"> UE is not expected to be</w:t>
      </w:r>
      <w:r>
        <w:rPr>
          <w:rFonts w:eastAsia="Malgun Gothic"/>
        </w:rPr>
        <w:t xml:space="preserve"> dynamically scheduled UL transmissions and DL receptions</w:t>
      </w:r>
      <w:r>
        <w:t xml:space="preserve"> in the same SBFD symbol.</w:t>
      </w:r>
    </w:p>
    <w:p>
      <w:pPr>
        <w:tabs>
          <w:tab w:val="left" w:pos="0"/>
        </w:tabs>
        <w:spacing w:before="0" w:after="120"/>
        <w:jc w:val="both"/>
        <w:rPr>
          <w:bCs/>
          <w:iCs/>
          <w:lang w:eastAsia="zh-CN"/>
        </w:rPr>
      </w:pPr>
      <w:r>
        <w:rPr>
          <w:b/>
          <w:i/>
          <w:u w:val="single"/>
        </w:rPr>
        <w:t>Proposal 25</w:t>
      </w:r>
      <w:r>
        <w:rPr>
          <w:b/>
          <w:i/>
          <w:u w:val="single"/>
          <w:lang w:eastAsia="zh-CN"/>
        </w:rPr>
        <w:t>:</w:t>
      </w:r>
      <w:r>
        <w:rPr>
          <w:bCs/>
          <w:iCs/>
          <w:lang w:eastAsia="zh-CN"/>
        </w:rPr>
        <w:t xml:space="preserve"> For the collision between dynamic DL receptions and semi-statically configured UL transmissions </w:t>
      </w:r>
      <w:r>
        <w:t>in the same SBFD symbol</w:t>
      </w:r>
      <w:r>
        <w:rPr>
          <w:bCs/>
          <w:iCs/>
          <w:lang w:eastAsia="zh-CN"/>
        </w:rPr>
        <w:t xml:space="preserve">, UE receives the dynamical </w:t>
      </w:r>
      <w:r>
        <w:rPr>
          <w:rFonts w:eastAsia="Malgun Gothic"/>
        </w:rPr>
        <w:t>DL and drop the UL transmissions</w:t>
      </w:r>
      <w:r>
        <w:t>.</w:t>
      </w:r>
    </w:p>
    <w:p>
      <w:pPr>
        <w:tabs>
          <w:tab w:val="left" w:pos="0"/>
        </w:tabs>
        <w:spacing w:before="0" w:after="120"/>
        <w:jc w:val="both"/>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26</w:t>
      </w:r>
      <w:r>
        <w:rPr>
          <w:b/>
          <w:i/>
          <w:u w:val="single"/>
        </w:rPr>
        <w:fldChar w:fldCharType="end"/>
      </w:r>
      <w:r>
        <w:rPr>
          <w:b/>
          <w:i/>
          <w:u w:val="single"/>
          <w:lang w:eastAsia="zh-CN"/>
        </w:rPr>
        <w:t>:</w:t>
      </w:r>
      <w:r>
        <w:rPr>
          <w:bCs/>
          <w:iCs/>
          <w:lang w:eastAsia="zh-CN"/>
        </w:rPr>
        <w:t xml:space="preserve"> For the collision between dynamic UL transmissions and semi-statically configured DL receptions </w:t>
      </w:r>
      <w:r>
        <w:t>in the same SBFD symbol</w:t>
      </w:r>
      <w:r>
        <w:rPr>
          <w:bCs/>
          <w:iCs/>
          <w:lang w:eastAsia="zh-CN"/>
        </w:rPr>
        <w:t xml:space="preserve">, UE transmits the dynamical </w:t>
      </w:r>
      <w:r>
        <w:rPr>
          <w:rFonts w:eastAsia="Malgun Gothic"/>
        </w:rPr>
        <w:t>UL and drop the DL receptions</w:t>
      </w:r>
      <w:r>
        <w:t>.</w:t>
      </w:r>
    </w:p>
    <w:p>
      <w:pPr>
        <w:tabs>
          <w:tab w:val="left" w:pos="0"/>
        </w:tabs>
        <w:spacing w:before="0" w:after="120"/>
        <w:jc w:val="both"/>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27</w:t>
      </w:r>
      <w:r>
        <w:rPr>
          <w:b/>
          <w:i/>
          <w:u w:val="single"/>
        </w:rPr>
        <w:fldChar w:fldCharType="end"/>
      </w:r>
      <w:r>
        <w:rPr>
          <w:b/>
          <w:i/>
          <w:u w:val="single"/>
          <w:lang w:eastAsia="zh-CN"/>
        </w:rPr>
        <w:t>:</w:t>
      </w:r>
      <w:r>
        <w:rPr>
          <w:bCs/>
          <w:iCs/>
          <w:lang w:eastAsia="zh-CN"/>
        </w:rPr>
        <w:t xml:space="preserve"> For the collision between </w:t>
      </w:r>
      <w:r>
        <w:t xml:space="preserve">semi-statically </w:t>
      </w:r>
      <w:r>
        <w:rPr>
          <w:rFonts w:eastAsia="Malgun Gothic"/>
        </w:rPr>
        <w:t xml:space="preserve">configured UL transmissions and </w:t>
      </w:r>
      <w:r>
        <w:t>semi-statically</w:t>
      </w:r>
      <w:r>
        <w:rPr>
          <w:rFonts w:eastAsia="Malgun Gothic"/>
        </w:rPr>
        <w:t xml:space="preserve"> configured DL receptions</w:t>
      </w:r>
      <w:r>
        <w:t xml:space="preserve"> in the same SBFD symbol</w:t>
      </w:r>
      <w:r>
        <w:rPr>
          <w:bCs/>
          <w:iCs/>
          <w:lang w:eastAsia="zh-CN"/>
        </w:rPr>
        <w:t xml:space="preserve">, UE follows the explicit indication of the link </w:t>
      </w:r>
      <w:r>
        <w:rPr>
          <w:rFonts w:eastAsiaTheme="minorEastAsia"/>
          <w:lang w:eastAsia="zh-CN"/>
        </w:rPr>
        <w:t>direction of this SBFD symbol</w:t>
      </w:r>
      <w:r>
        <w:t>.</w:t>
      </w:r>
      <w:bookmarkStart w:id="29" w:name="_Hlk118211312"/>
    </w:p>
    <w:p>
      <w:pPr>
        <w:pStyle w:val="134"/>
        <w:numPr>
          <w:ilvl w:val="0"/>
          <w:numId w:val="20"/>
        </w:numPr>
        <w:ind w:leftChars="0"/>
        <w:jc w:val="both"/>
        <w:rPr>
          <w:rFonts w:eastAsia="MS Mincho"/>
        </w:rPr>
      </w:pPr>
      <w:r>
        <w:rPr>
          <w:rFonts w:eastAsiaTheme="minorEastAsia"/>
          <w:lang w:eastAsia="zh-CN"/>
        </w:rPr>
        <w:t xml:space="preserve">From </w:t>
      </w:r>
      <w:r>
        <w:rPr>
          <w:lang w:eastAsia="zh-CN"/>
        </w:rPr>
        <w:t xml:space="preserve">SBFD aware </w:t>
      </w:r>
      <w:r>
        <w:rPr>
          <w:rFonts w:eastAsiaTheme="minorEastAsia"/>
          <w:lang w:eastAsia="zh-CN"/>
        </w:rPr>
        <w:t xml:space="preserve">UE’s perspective, </w:t>
      </w:r>
      <w:r>
        <w:rPr>
          <w:bCs/>
          <w:iCs/>
          <w:lang w:eastAsia="zh-CN"/>
        </w:rPr>
        <w:t xml:space="preserve">the link </w:t>
      </w:r>
      <w:r>
        <w:rPr>
          <w:rFonts w:eastAsiaTheme="minorEastAsia"/>
          <w:lang w:eastAsia="zh-CN"/>
        </w:rPr>
        <w:t>direction of this SBFD symbol can be indicated by UE-specific RRC signalling, SFI, and/or scheduling DCI;</w:t>
      </w:r>
    </w:p>
    <w:p>
      <w:pPr>
        <w:pStyle w:val="134"/>
        <w:numPr>
          <w:ilvl w:val="0"/>
          <w:numId w:val="20"/>
        </w:numPr>
        <w:spacing w:before="0" w:after="120"/>
        <w:ind w:leftChars="0"/>
        <w:jc w:val="both"/>
        <w:rPr>
          <w:rFonts w:eastAsia="MS Mincho"/>
        </w:rPr>
      </w:pPr>
      <w:r>
        <w:rPr>
          <w:lang w:eastAsia="zh-CN"/>
        </w:rPr>
        <w:t xml:space="preserve">If </w:t>
      </w:r>
      <w:r>
        <w:rPr>
          <w:rFonts w:eastAsiaTheme="minorEastAsia"/>
          <w:lang w:eastAsia="zh-CN"/>
        </w:rPr>
        <w:t xml:space="preserve">UE-specific RRC signalling indicates “F”, SFI indicates “F”, and there is no scheduling DCI, a default rule (e.g., </w:t>
      </w:r>
      <w:r>
        <w:rPr>
          <w:lang w:eastAsia="zh-CN"/>
        </w:rPr>
        <w:t>higher layer configured DL or higher layer configured UL has higher priority</w:t>
      </w:r>
      <w:r>
        <w:rPr>
          <w:rFonts w:eastAsiaTheme="minorEastAsia"/>
          <w:lang w:eastAsia="zh-CN"/>
        </w:rPr>
        <w:t>) can be further studied.</w:t>
      </w:r>
    </w:p>
    <w:p>
      <w:pPr>
        <w:tabs>
          <w:tab w:val="left" w:pos="0"/>
        </w:tabs>
        <w:spacing w:before="0" w:after="120"/>
        <w:jc w:val="both"/>
      </w:pPr>
    </w:p>
    <w:p>
      <w:pPr>
        <w:pStyle w:val="134"/>
        <w:numPr>
          <w:ilvl w:val="0"/>
          <w:numId w:val="22"/>
        </w:numPr>
        <w:ind w:leftChars="0"/>
        <w:rPr>
          <w:b/>
          <w:bCs/>
          <w:i/>
          <w:iCs/>
          <w:u w:val="single"/>
        </w:rPr>
      </w:pPr>
      <w:r>
        <w:rPr>
          <w:b/>
          <w:bCs/>
          <w:i/>
          <w:iCs/>
          <w:u w:val="single"/>
        </w:rPr>
        <w:t>Type B collision</w:t>
      </w:r>
    </w:p>
    <w:p>
      <w:pPr>
        <w:tabs>
          <w:tab w:val="left" w:pos="0"/>
        </w:tabs>
        <w:spacing w:before="0" w:after="120"/>
        <w:jc w:val="both"/>
      </w:pPr>
      <w:r>
        <w:t>Regarding the Type B collision, it is the same issue as the UL/DL direction indication of SBFD symbol/slot issue in section 3.1.1. If the link direction of SBFD symbol/slot is explicitly indicated using UE-specific RRC signalling or SFI, there is no collision between transmissions/receptions with transmission direction of subbands.</w:t>
      </w:r>
    </w:p>
    <w:p>
      <w:pPr>
        <w:jc w:val="both"/>
        <w:rPr>
          <w:rFonts w:eastAsiaTheme="minorEastAsia"/>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28</w:t>
      </w:r>
      <w:r>
        <w:rPr>
          <w:b/>
          <w:i/>
          <w:u w:val="single"/>
        </w:rPr>
        <w:fldChar w:fldCharType="end"/>
      </w:r>
      <w:r>
        <w:rPr>
          <w:b/>
          <w:i/>
          <w:u w:val="single"/>
          <w:lang w:eastAsia="zh-CN"/>
        </w:rPr>
        <w:t>:</w:t>
      </w:r>
      <w:r>
        <w:rPr>
          <w:bCs/>
          <w:iCs/>
          <w:lang w:eastAsia="zh-CN"/>
        </w:rPr>
        <w:t xml:space="preserve"> There is no collision between transmissions/receptions with transmission direction of subbands when explicit signalling is used to </w:t>
      </w:r>
      <w:r>
        <w:rPr>
          <w:rFonts w:eastAsiaTheme="minorEastAsia"/>
          <w:lang w:eastAsia="zh-CN"/>
        </w:rPr>
        <w:t>indicate the DL or UL link direction of SBFD symbol.</w:t>
      </w:r>
    </w:p>
    <w:bookmarkEnd w:id="29"/>
    <w:p>
      <w:pPr>
        <w:pStyle w:val="2"/>
        <w:jc w:val="both"/>
        <w:rPr>
          <w:rFonts w:ascii="Times New Roman" w:hAnsi="Times New Roman" w:eastAsiaTheme="minorEastAsia"/>
          <w:lang w:eastAsia="zh-CN"/>
        </w:rPr>
      </w:pPr>
      <w:r>
        <w:rPr>
          <w:rFonts w:ascii="Times New Roman" w:hAnsi="Times New Roman" w:eastAsiaTheme="minorEastAsia"/>
          <w:lang w:eastAsia="zh-CN"/>
        </w:rPr>
        <w:t>Conclusions</w:t>
      </w:r>
    </w:p>
    <w:p>
      <w:pPr>
        <w:jc w:val="both"/>
        <w:rPr>
          <w:lang w:eastAsia="zh-CN"/>
        </w:rPr>
      </w:pPr>
      <w:r>
        <w:rPr>
          <w:lang w:eastAsia="zh-CN"/>
        </w:rPr>
        <w:t>In this contribution, the possible solutions, coexistence with legacy operation and interference handling of SBFD are discussed and the following observations and proposals are made.</w:t>
      </w:r>
    </w:p>
    <w:p>
      <w:pPr>
        <w:jc w:val="center"/>
        <w:rPr>
          <w:b/>
          <w:bCs/>
          <w:i/>
          <w:iCs/>
          <w:u w:val="single"/>
        </w:rPr>
      </w:pPr>
      <w:r>
        <w:rPr>
          <w:b/>
          <w:bCs/>
          <w:i/>
          <w:iCs/>
          <w:u w:val="single"/>
        </w:rPr>
        <w:t>Inter-gNB inter-subband CLI handling</w:t>
      </w:r>
    </w:p>
    <w:p>
      <w:pPr>
        <w:jc w:val="both"/>
        <w:rPr>
          <w:lang w:val="en-US" w:eastAsia="zh-CN"/>
        </w:rPr>
      </w:pPr>
      <w:r>
        <w:rPr>
          <w:b/>
          <w:i/>
          <w:u w:val="single"/>
        </w:rPr>
        <w:t>Proposal 1</w:t>
      </w:r>
      <w:r>
        <w:rPr>
          <w:b/>
          <w:i/>
          <w:u w:val="single"/>
          <w:lang w:eastAsia="zh-CN"/>
        </w:rPr>
        <w:t xml:space="preserve">: </w:t>
      </w:r>
      <w:r>
        <w:t xml:space="preserve">For </w:t>
      </w:r>
      <w:r>
        <w:rPr>
          <w:lang w:eastAsia="zh-CN"/>
        </w:rPr>
        <w:t>inter-gNB inter-subband CLI measurement</w:t>
      </w:r>
      <w:r>
        <w:rPr>
          <w:lang w:val="en-US" w:eastAsia="zh-CN"/>
        </w:rPr>
        <w:t>, the following two methods can be further studied:</w:t>
      </w:r>
    </w:p>
    <w:p>
      <w:pPr>
        <w:pStyle w:val="134"/>
        <w:numPr>
          <w:ilvl w:val="0"/>
          <w:numId w:val="12"/>
        </w:numPr>
        <w:ind w:leftChars="0"/>
        <w:jc w:val="both"/>
        <w:rPr>
          <w:lang w:eastAsia="zh-CN"/>
        </w:rPr>
      </w:pPr>
      <w:r>
        <w:rPr>
          <w:rFonts w:eastAsiaTheme="minorEastAsia"/>
          <w:lang w:eastAsia="zh-CN"/>
        </w:rPr>
        <w:t>Method#1: victim gNB measures leakage power from aggressor gNB within UL subband;</w:t>
      </w:r>
    </w:p>
    <w:p>
      <w:pPr>
        <w:pStyle w:val="134"/>
        <w:numPr>
          <w:ilvl w:val="0"/>
          <w:numId w:val="12"/>
        </w:numPr>
        <w:ind w:leftChars="0"/>
        <w:jc w:val="both"/>
        <w:rPr>
          <w:lang w:eastAsia="zh-CN"/>
        </w:rPr>
      </w:pPr>
      <w:r>
        <w:rPr>
          <w:rFonts w:eastAsiaTheme="minorEastAsia"/>
          <w:lang w:eastAsia="zh-CN"/>
        </w:rPr>
        <w:t>Method#2: victim gNB measures RSRP of aggressor gNB’s RS within DL subband.</w:t>
      </w:r>
    </w:p>
    <w:p>
      <w:pPr>
        <w:jc w:val="both"/>
        <w:rPr>
          <w:lang w:eastAsia="zh-CN"/>
        </w:rPr>
      </w:pPr>
      <w:r>
        <w:rPr>
          <w:b/>
          <w:i/>
          <w:u w:val="single"/>
        </w:rPr>
        <w:t>Proposal 2</w:t>
      </w:r>
      <w:r>
        <w:rPr>
          <w:b/>
          <w:i/>
          <w:u w:val="single"/>
          <w:lang w:eastAsia="zh-CN"/>
        </w:rPr>
        <w:t xml:space="preserve">: </w:t>
      </w:r>
      <w:r>
        <w:t xml:space="preserve">For </w:t>
      </w:r>
      <w:r>
        <w:rPr>
          <w:lang w:eastAsia="zh-CN"/>
        </w:rPr>
        <w:t>inter-gNB inter-subband CLI handling</w:t>
      </w:r>
      <w:r>
        <w:rPr>
          <w:lang w:val="en-US" w:eastAsia="zh-CN"/>
        </w:rPr>
        <w:t xml:space="preserve">, </w:t>
      </w:r>
      <w:r>
        <w:rPr>
          <w:rFonts w:eastAsiaTheme="minorEastAsia"/>
          <w:lang w:eastAsia="zh-CN"/>
        </w:rPr>
        <w:t>inter-gNB coordination in time-domain, frequency-domain, spatial-domain, and power-domain should be supported.</w:t>
      </w:r>
    </w:p>
    <w:p>
      <w:pPr>
        <w:pStyle w:val="134"/>
        <w:numPr>
          <w:ilvl w:val="0"/>
          <w:numId w:val="12"/>
        </w:numPr>
        <w:ind w:leftChars="0"/>
        <w:jc w:val="both"/>
        <w:rPr>
          <w:rFonts w:ascii="Times New Roman" w:hAnsi="Times New Roman"/>
          <w:lang w:eastAsia="zh-CN"/>
        </w:rPr>
      </w:pPr>
      <w:r>
        <w:rPr>
          <w:rFonts w:ascii="Times New Roman" w:hAnsi="Times New Roman" w:eastAsiaTheme="minorEastAsia"/>
          <w:lang w:eastAsia="zh-CN"/>
        </w:rPr>
        <w:t>Backhaul signalling enhancement is needed to support inter-vendor cooperation.</w:t>
      </w:r>
    </w:p>
    <w:p>
      <w:pPr>
        <w:jc w:val="both"/>
        <w:rPr>
          <w:lang w:val="en-US" w:eastAsia="zh-CN"/>
        </w:rPr>
      </w:pPr>
      <w:r>
        <w:rPr>
          <w:b/>
          <w:i/>
          <w:u w:val="single"/>
        </w:rPr>
        <w:t>Proposal 3:</w:t>
      </w:r>
      <w:r>
        <w:rPr>
          <w:b/>
          <w:i/>
          <w:u w:val="single"/>
          <w:lang w:eastAsia="zh-CN"/>
        </w:rPr>
        <w:t xml:space="preserve"> </w:t>
      </w:r>
      <w:r>
        <w:rPr>
          <w:lang w:eastAsia="zh-CN"/>
        </w:rPr>
        <w:t xml:space="preserve">Inter-gNB transmission coordination in </w:t>
      </w:r>
      <w:r>
        <w:rPr>
          <w:rFonts w:hint="eastAsia"/>
          <w:lang w:val="en-US" w:eastAsia="zh-CN"/>
        </w:rPr>
        <w:t>orthogonal</w:t>
      </w:r>
      <w:r>
        <w:rPr>
          <w:lang w:val="en-US" w:eastAsia="zh-CN"/>
        </w:rPr>
        <w:t xml:space="preserve"> </w:t>
      </w:r>
      <w:r>
        <w:rPr>
          <w:rFonts w:eastAsiaTheme="minorEastAsia"/>
          <w:lang w:eastAsia="zh-CN"/>
        </w:rPr>
        <w:t>time-domain, frequency-domain or spatial-domain</w:t>
      </w:r>
      <w:r>
        <w:rPr>
          <w:lang w:val="en-US" w:eastAsia="zh-CN"/>
        </w:rPr>
        <w:t xml:space="preserve"> resources can be supported to identify the strongest aggressor gNB in inter-gNB inter-subband CLI measurement Method#1.</w:t>
      </w:r>
    </w:p>
    <w:p>
      <w:pPr>
        <w:rPr>
          <w:lang w:val="en-US" w:eastAsia="zh-CN"/>
        </w:rPr>
      </w:pPr>
    </w:p>
    <w:p>
      <w:pPr>
        <w:jc w:val="center"/>
        <w:rPr>
          <w:lang w:eastAsia="zh-CN"/>
        </w:rPr>
      </w:pPr>
      <w:r>
        <w:rPr>
          <w:b/>
          <w:bCs/>
          <w:i/>
          <w:iCs/>
          <w:u w:val="single"/>
        </w:rPr>
        <w:t>Inter-UE inter-subband CLI handling</w:t>
      </w:r>
    </w:p>
    <w:p>
      <w:pPr>
        <w:jc w:val="both"/>
        <w:rPr>
          <w:lang w:val="en-US" w:eastAsia="zh-CN"/>
        </w:rPr>
      </w:pPr>
      <w:r>
        <w:rPr>
          <w:b/>
          <w:i/>
          <w:u w:val="single"/>
        </w:rPr>
        <w:t>Proposal 4:</w:t>
      </w:r>
      <w:r>
        <w:rPr>
          <w:b/>
          <w:i/>
          <w:u w:val="single"/>
          <w:lang w:eastAsia="zh-CN"/>
        </w:rPr>
        <w:t xml:space="preserve"> </w:t>
      </w:r>
      <w:r>
        <w:t xml:space="preserve">For </w:t>
      </w:r>
      <w:r>
        <w:rPr>
          <w:lang w:eastAsia="zh-CN"/>
        </w:rPr>
        <w:t>inter-UE inter-subband CLI measurement</w:t>
      </w:r>
      <w:r>
        <w:rPr>
          <w:lang w:val="en-US" w:eastAsia="zh-CN"/>
        </w:rPr>
        <w:t>, the following two methods can be further studied:</w:t>
      </w:r>
    </w:p>
    <w:p>
      <w:pPr>
        <w:pStyle w:val="134"/>
        <w:numPr>
          <w:ilvl w:val="0"/>
          <w:numId w:val="12"/>
        </w:numPr>
        <w:ind w:leftChars="0"/>
        <w:jc w:val="both"/>
        <w:rPr>
          <w:lang w:eastAsia="zh-CN"/>
        </w:rPr>
      </w:pPr>
      <w:r>
        <w:rPr>
          <w:rFonts w:eastAsiaTheme="minorEastAsia"/>
          <w:lang w:eastAsia="zh-CN"/>
        </w:rPr>
        <w:t>Method#1: victim UE measures RSSI/SINR within DL subband;</w:t>
      </w:r>
    </w:p>
    <w:p>
      <w:pPr>
        <w:pStyle w:val="134"/>
        <w:numPr>
          <w:ilvl w:val="0"/>
          <w:numId w:val="12"/>
        </w:numPr>
        <w:ind w:leftChars="0"/>
        <w:jc w:val="both"/>
        <w:rPr>
          <w:lang w:eastAsia="zh-CN"/>
        </w:rPr>
      </w:pPr>
      <w:r>
        <w:rPr>
          <w:rFonts w:eastAsiaTheme="minorEastAsia"/>
          <w:lang w:eastAsia="zh-CN"/>
        </w:rPr>
        <w:t>Method#2: victim UE measures RSRP of aggressor UE’s CLI-SRS within UL subband.</w:t>
      </w:r>
    </w:p>
    <w:p>
      <w:pPr>
        <w:jc w:val="both"/>
        <w:rPr>
          <w:lang w:eastAsia="zh-CN"/>
        </w:rPr>
      </w:pPr>
      <w:r>
        <w:rPr>
          <w:b/>
          <w:i/>
          <w:u w:val="single"/>
        </w:rPr>
        <w:t>Proposal 5:</w:t>
      </w:r>
      <w:r>
        <w:rPr>
          <w:lang w:eastAsia="zh-CN"/>
        </w:rPr>
        <w:t xml:space="preserve"> Both uniform and non-uniform CLI subband configuration can be supported to enable </w:t>
      </w:r>
      <w:r>
        <w:rPr>
          <w:rFonts w:eastAsiaTheme="minorEastAsia"/>
          <w:lang w:eastAsia="zh-CN"/>
        </w:rPr>
        <w:t>victim UE to measure RSSI/SINR within DL subband</w:t>
      </w:r>
      <w:r>
        <w:rPr>
          <w:lang w:eastAsia="zh-CN"/>
        </w:rPr>
        <w:t xml:space="preserve"> (i.e., inter-UE inter-subband CLI measurement Method#1).</w:t>
      </w:r>
    </w:p>
    <w:p>
      <w:pPr>
        <w:rPr>
          <w:lang w:val="en-US" w:eastAsia="zh-CN"/>
        </w:rPr>
      </w:pPr>
      <w:r>
        <w:rPr>
          <w:b/>
          <w:i/>
          <w:u w:val="single"/>
        </w:rPr>
        <w:t>Proposal 6:</w:t>
      </w:r>
      <w:r>
        <w:rPr>
          <w:b/>
          <w:i/>
          <w:u w:val="single"/>
          <w:lang w:eastAsia="zh-CN"/>
        </w:rPr>
        <w:t xml:space="preserve"> </w:t>
      </w:r>
      <w:r>
        <w:rPr>
          <w:lang w:eastAsia="zh-CN"/>
        </w:rPr>
        <w:t>Inter-UE CLI measurement outside DL subband should be supported to</w:t>
      </w:r>
      <w:r>
        <w:rPr>
          <w:lang w:val="en-US" w:eastAsia="zh-CN"/>
        </w:rPr>
        <w:t xml:space="preserve"> </w:t>
      </w:r>
      <w:r>
        <w:t xml:space="preserve">enable </w:t>
      </w:r>
      <w:r>
        <w:rPr>
          <w:rFonts w:eastAsiaTheme="minorEastAsia"/>
          <w:lang w:eastAsia="zh-CN"/>
        </w:rPr>
        <w:t>victim UE to measure RSRP of aggressor UE’s CLI-SRS within UL subband</w:t>
      </w:r>
      <w:r>
        <w:rPr>
          <w:lang w:eastAsia="zh-CN"/>
        </w:rPr>
        <w:t xml:space="preserve"> (i.e., inter-UE inter-subband CLI measurement </w:t>
      </w:r>
      <w:r>
        <w:rPr>
          <w:rFonts w:eastAsiaTheme="minorEastAsia"/>
          <w:lang w:eastAsia="zh-CN"/>
        </w:rPr>
        <w:t>Method#2</w:t>
      </w:r>
      <w:r>
        <w:rPr>
          <w:lang w:val="en-US" w:eastAsia="zh-CN"/>
        </w:rPr>
        <w:t>).</w:t>
      </w:r>
    </w:p>
    <w:p>
      <w:pPr>
        <w:pStyle w:val="134"/>
        <w:numPr>
          <w:ilvl w:val="0"/>
          <w:numId w:val="12"/>
        </w:numPr>
        <w:ind w:leftChars="0"/>
        <w:jc w:val="both"/>
        <w:rPr>
          <w:lang w:val="en-US" w:eastAsia="zh-CN"/>
        </w:rPr>
      </w:pPr>
      <w:r>
        <w:rPr>
          <w:rFonts w:eastAsiaTheme="minorEastAsia"/>
          <w:lang w:val="en-US" w:eastAsia="zh-CN"/>
        </w:rPr>
        <w:t xml:space="preserve">How to </w:t>
      </w:r>
      <w:r>
        <w:rPr>
          <w:rFonts w:eastAsiaTheme="minorEastAsia"/>
          <w:lang w:eastAsia="zh-CN"/>
        </w:rPr>
        <w:t xml:space="preserve">estimate the interference intensity of inter-UE inter-subband CLI from </w:t>
      </w:r>
      <w:r>
        <w:rPr>
          <w:lang w:eastAsia="zh-CN"/>
        </w:rPr>
        <w:t xml:space="preserve">CLI-SRS RSRP can be further studied. The inter-UE </w:t>
      </w:r>
      <w:r>
        <w:rPr>
          <w:rFonts w:eastAsiaTheme="minorEastAsia"/>
          <w:lang w:eastAsia="zh-CN"/>
        </w:rPr>
        <w:t>inter-subband CLI modelling</w:t>
      </w:r>
      <w:r>
        <w:rPr>
          <w:lang w:eastAsia="zh-CN"/>
        </w:rPr>
        <w:t xml:space="preserve"> as well as the blocker model at UE side under discussing in AI 9.3.1 can be considered</w:t>
      </w:r>
      <w:r>
        <w:rPr>
          <w:rFonts w:eastAsiaTheme="minorEastAsia"/>
          <w:lang w:eastAsia="zh-CN"/>
        </w:rPr>
        <w:t xml:space="preserve"> as starting point.</w:t>
      </w:r>
    </w:p>
    <w:p>
      <w:pPr>
        <w:jc w:val="both"/>
        <w:rPr>
          <w:lang w:val="en-US" w:eastAsia="zh-CN"/>
        </w:rPr>
      </w:pPr>
    </w:p>
    <w:p>
      <w:pPr>
        <w:jc w:val="center"/>
        <w:rPr>
          <w:lang w:val="en-US" w:eastAsia="zh-CN"/>
        </w:rPr>
      </w:pPr>
      <w:r>
        <w:rPr>
          <w:b/>
          <w:bCs/>
          <w:i/>
          <w:iCs/>
          <w:u w:val="single"/>
        </w:rPr>
        <w:t>Subband time/frequency indication and UE behaviour</w:t>
      </w:r>
    </w:p>
    <w:p>
      <w:pPr>
        <w:jc w:val="both"/>
        <w:rPr>
          <w:lang w:eastAsia="zh-CN"/>
        </w:rPr>
      </w:pPr>
      <w:r>
        <w:rPr>
          <w:b/>
          <w:i/>
          <w:u w:val="single"/>
        </w:rPr>
        <w:t xml:space="preserve">Proposal 7: </w:t>
      </w:r>
      <w:r>
        <w:rPr>
          <w:lang w:eastAsia="zh-CN"/>
        </w:rPr>
        <w:t>In addition to semi-static configuration, the time location of UL subband can be dynamically indicated</w:t>
      </w:r>
      <w:r>
        <w:rPr>
          <w:rFonts w:hint="eastAsia"/>
          <w:lang w:eastAsia="zh-CN"/>
        </w:rPr>
        <w:t>,</w:t>
      </w:r>
      <w:r>
        <w:rPr>
          <w:lang w:eastAsia="zh-CN"/>
        </w:rPr>
        <w:t xml:space="preserve"> the following options can be further studied:</w:t>
      </w:r>
    </w:p>
    <w:p>
      <w:pPr>
        <w:pStyle w:val="134"/>
        <w:numPr>
          <w:ilvl w:val="0"/>
          <w:numId w:val="12"/>
        </w:numPr>
        <w:ind w:leftChars="0"/>
        <w:jc w:val="both"/>
        <w:rPr>
          <w:lang w:eastAsia="zh-CN"/>
        </w:rPr>
      </w:pPr>
      <w:r>
        <w:rPr>
          <w:rFonts w:eastAsiaTheme="minorEastAsia"/>
          <w:lang w:eastAsia="zh-CN"/>
        </w:rPr>
        <w:t xml:space="preserve">Option 1: </w:t>
      </w:r>
      <w:r>
        <w:rPr>
          <w:lang w:eastAsia="zh-CN"/>
        </w:rPr>
        <w:t>Indication for enable/disable of part of UL subband time location on top of semi-static configuration;</w:t>
      </w:r>
    </w:p>
    <w:p>
      <w:pPr>
        <w:pStyle w:val="134"/>
        <w:numPr>
          <w:ilvl w:val="0"/>
          <w:numId w:val="12"/>
        </w:numPr>
        <w:ind w:leftChars="0"/>
        <w:jc w:val="both"/>
        <w:rPr>
          <w:lang w:eastAsia="zh-CN"/>
        </w:rPr>
      </w:pPr>
      <w:r>
        <w:rPr>
          <w:rFonts w:eastAsiaTheme="minorEastAsia"/>
          <w:lang w:eastAsia="zh-CN"/>
        </w:rPr>
        <w:t>Option 2:</w:t>
      </w:r>
      <w:r>
        <w:rPr>
          <w:lang w:eastAsia="zh-CN"/>
        </w:rPr>
        <w:t xml:space="preserve"> Re-configuration of UL subband time location via UE-specific RRC signalling/DCI.</w:t>
      </w:r>
    </w:p>
    <w:p>
      <w:pPr>
        <w:jc w:val="both"/>
        <w:rPr>
          <w:rFonts w:eastAsiaTheme="minorEastAsia"/>
          <w:lang w:eastAsia="zh-CN"/>
        </w:rPr>
      </w:pPr>
      <w:r>
        <w:rPr>
          <w:b/>
          <w:i/>
          <w:u w:val="single"/>
        </w:rPr>
        <w:t>Proposal 8:</w:t>
      </w:r>
      <w:r>
        <w:t xml:space="preserve"> </w:t>
      </w:r>
      <w:r>
        <w:rPr>
          <w:rFonts w:eastAsiaTheme="minorEastAsia"/>
          <w:lang w:eastAsia="zh-CN"/>
        </w:rPr>
        <w:t>For a SBFD symbol,</w:t>
      </w:r>
      <w:r>
        <w:t xml:space="preserve"> </w:t>
      </w:r>
      <w:r>
        <w:rPr>
          <w:rFonts w:eastAsiaTheme="minorEastAsia"/>
          <w:lang w:eastAsia="zh-CN"/>
        </w:rPr>
        <w:t xml:space="preserve">the DL or UL link direction from </w:t>
      </w:r>
      <w:r>
        <w:rPr>
          <w:lang w:eastAsia="zh-CN"/>
        </w:rPr>
        <w:t xml:space="preserve">SBFD aware </w:t>
      </w:r>
      <w:r>
        <w:rPr>
          <w:rFonts w:eastAsiaTheme="minorEastAsia"/>
          <w:lang w:eastAsia="zh-CN"/>
        </w:rPr>
        <w:t xml:space="preserve">UE’s perspective can be further determined based on </w:t>
      </w:r>
      <w:r>
        <w:t>the legacy</w:t>
      </w:r>
      <w:r>
        <w:rPr>
          <w:rFonts w:eastAsiaTheme="minorEastAsia"/>
          <w:lang w:eastAsia="zh-CN"/>
        </w:rPr>
        <w:t xml:space="preserve"> signalling, such as, UE-specific RRC signalling, SFI, and/or scheduling DCI.</w:t>
      </w:r>
    </w:p>
    <w:p>
      <w:pPr>
        <w:jc w:val="both"/>
        <w:rPr>
          <w:lang w:eastAsia="zh-CN"/>
        </w:rPr>
      </w:pPr>
      <w:r>
        <w:rPr>
          <w:b/>
          <w:i/>
          <w:u w:val="single"/>
        </w:rPr>
        <w:t xml:space="preserve">Proposal 9: </w:t>
      </w:r>
      <w:r>
        <w:rPr>
          <w:lang w:val="en-US" w:eastAsia="ko-KR"/>
        </w:rPr>
        <w:t>The semi-static SBFD subband time locations indication is indicated within a period</w:t>
      </w:r>
      <w:r>
        <w:rPr>
          <w:lang w:eastAsia="zh-CN"/>
        </w:rPr>
        <w:t xml:space="preserve"> equals to the TDD periodicity configured in TDD-UL-DL-ConfigCommon.</w:t>
      </w:r>
    </w:p>
    <w:p>
      <w:pPr>
        <w:jc w:val="both"/>
        <w:rPr>
          <w:rFonts w:eastAsiaTheme="minorEastAsia"/>
          <w:lang w:val="en-US" w:eastAsia="zh-CN"/>
        </w:rPr>
      </w:pPr>
      <w:r>
        <w:rPr>
          <w:b/>
          <w:i/>
          <w:u w:val="single"/>
        </w:rPr>
        <w:t>Proposal 10</w:t>
      </w:r>
      <w:r>
        <w:rPr>
          <w:b/>
          <w:i/>
          <w:u w:val="single"/>
          <w:lang w:eastAsia="zh-CN"/>
        </w:rPr>
        <w:t xml:space="preserve">: </w:t>
      </w:r>
      <w:r>
        <w:rPr>
          <w:rFonts w:eastAsiaTheme="minorEastAsia"/>
          <w:lang w:eastAsia="zh-CN"/>
        </w:rPr>
        <w:t xml:space="preserve">For SBFD aware UE’s UL transmission, </w:t>
      </w:r>
      <w:r>
        <w:rPr>
          <w:rFonts w:eastAsiaTheme="minorEastAsia"/>
          <w:lang w:val="en-US" w:eastAsia="zh-CN"/>
        </w:rPr>
        <w:t xml:space="preserve">the available UL frequency resources in </w:t>
      </w:r>
      <w:r>
        <w:rPr>
          <w:rFonts w:hint="eastAsia" w:eastAsiaTheme="minorEastAsia"/>
          <w:lang w:val="en-US" w:eastAsia="zh-CN"/>
        </w:rPr>
        <w:t>SBFD</w:t>
      </w:r>
      <w:r>
        <w:rPr>
          <w:rFonts w:eastAsiaTheme="minorEastAsia"/>
          <w:lang w:val="en-US" w:eastAsia="zh-CN"/>
        </w:rPr>
        <w:t xml:space="preserve"> </w:t>
      </w:r>
      <w:r>
        <w:rPr>
          <w:rFonts w:hint="eastAsia" w:eastAsiaTheme="minorEastAsia"/>
          <w:lang w:val="en-US" w:eastAsia="zh-CN"/>
        </w:rPr>
        <w:t>sym</w:t>
      </w:r>
      <w:r>
        <w:rPr>
          <w:rFonts w:eastAsiaTheme="minorEastAsia"/>
          <w:lang w:val="en-US" w:eastAsia="zh-CN"/>
        </w:rPr>
        <w:t xml:space="preserve">bols is the intersection set of UL BWP and UL SBFD subband, i.e., available UL frequency resources in </w:t>
      </w:r>
      <w:r>
        <w:rPr>
          <w:rFonts w:hint="eastAsia" w:eastAsiaTheme="minorEastAsia"/>
          <w:lang w:val="en-US" w:eastAsia="zh-CN"/>
        </w:rPr>
        <w:t>SBFD</w:t>
      </w:r>
      <w:r>
        <w:rPr>
          <w:rFonts w:eastAsiaTheme="minorEastAsia"/>
          <w:lang w:val="en-US" w:eastAsia="zh-CN"/>
        </w:rPr>
        <w:t xml:space="preserve"> </w:t>
      </w:r>
      <w:r>
        <w:rPr>
          <w:rFonts w:hint="eastAsia" w:eastAsiaTheme="minorEastAsia"/>
          <w:lang w:val="en-US" w:eastAsia="zh-CN"/>
        </w:rPr>
        <w:t>sym</w:t>
      </w:r>
      <w:r>
        <w:rPr>
          <w:rFonts w:eastAsiaTheme="minorEastAsia"/>
          <w:lang w:val="en-US" w:eastAsia="zh-CN"/>
        </w:rPr>
        <w:t xml:space="preserve">bols = UL BWP </w:t>
      </w:r>
      <m:oMath>
        <m:r>
          <m:rPr>
            <m:sty m:val="p"/>
          </m:rPr>
          <w:rPr>
            <w:rFonts w:ascii="Cambria Math" w:hAnsi="Cambria Math" w:eastAsiaTheme="minorEastAsia"/>
            <w:lang w:val="en-US" w:eastAsia="zh-CN"/>
          </w:rPr>
          <m:t>∩</m:t>
        </m:r>
      </m:oMath>
      <w:r>
        <w:rPr>
          <w:rFonts w:hint="eastAsia" w:eastAsiaTheme="minorEastAsia"/>
          <w:lang w:val="en-US" w:eastAsia="zh-CN"/>
        </w:rPr>
        <w:t xml:space="preserve"> </w:t>
      </w:r>
      <w:r>
        <w:rPr>
          <w:rFonts w:eastAsiaTheme="minorEastAsia"/>
          <w:lang w:val="en-US" w:eastAsia="zh-CN"/>
        </w:rPr>
        <w:t>UL SBFD subband.</w:t>
      </w:r>
    </w:p>
    <w:p>
      <w:pPr>
        <w:jc w:val="both"/>
        <w:rPr>
          <w:rFonts w:eastAsiaTheme="minorEastAsia"/>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11</w:t>
      </w:r>
      <w:r>
        <w:rPr>
          <w:b/>
          <w:i/>
          <w:u w:val="single"/>
        </w:rPr>
        <w:fldChar w:fldCharType="end"/>
      </w:r>
      <w:r>
        <w:rPr>
          <w:b/>
          <w:i/>
          <w:u w:val="single"/>
          <w:lang w:eastAsia="zh-CN"/>
        </w:rPr>
        <w:t xml:space="preserve">: </w:t>
      </w:r>
      <w:r>
        <w:rPr>
          <w:rFonts w:eastAsiaTheme="minorEastAsia"/>
          <w:lang w:eastAsia="zh-CN"/>
        </w:rPr>
        <w:t xml:space="preserve">For SBFD aware UE’s DL reception, the </w:t>
      </w:r>
      <w:r>
        <w:rPr>
          <w:rFonts w:eastAsiaTheme="minorEastAsia"/>
          <w:lang w:val="en-US" w:eastAsia="zh-CN"/>
        </w:rPr>
        <w:t xml:space="preserve">available DL frequency resources in </w:t>
      </w:r>
      <w:r>
        <w:rPr>
          <w:rFonts w:hint="eastAsia" w:eastAsiaTheme="minorEastAsia"/>
          <w:lang w:val="en-US" w:eastAsia="zh-CN"/>
        </w:rPr>
        <w:t>SBFD</w:t>
      </w:r>
      <w:r>
        <w:rPr>
          <w:rFonts w:eastAsiaTheme="minorEastAsia"/>
          <w:lang w:val="en-US" w:eastAsia="zh-CN"/>
        </w:rPr>
        <w:t xml:space="preserve"> </w:t>
      </w:r>
      <w:r>
        <w:rPr>
          <w:rFonts w:hint="eastAsia" w:eastAsiaTheme="minorEastAsia"/>
          <w:lang w:val="en-US" w:eastAsia="zh-CN"/>
        </w:rPr>
        <w:t>sym</w:t>
      </w:r>
      <w:r>
        <w:rPr>
          <w:rFonts w:eastAsiaTheme="minorEastAsia"/>
          <w:lang w:val="en-US" w:eastAsia="zh-CN"/>
        </w:rPr>
        <w:t xml:space="preserve">bols is the difference set between DL BWP and UL SBFD subband, i.e., available DL frequency resources in </w:t>
      </w:r>
      <w:r>
        <w:rPr>
          <w:rFonts w:hint="eastAsia" w:eastAsiaTheme="minorEastAsia"/>
          <w:lang w:val="en-US" w:eastAsia="zh-CN"/>
        </w:rPr>
        <w:t>SBFD</w:t>
      </w:r>
      <w:r>
        <w:rPr>
          <w:rFonts w:eastAsiaTheme="minorEastAsia"/>
          <w:lang w:val="en-US" w:eastAsia="zh-CN"/>
        </w:rPr>
        <w:t xml:space="preserve"> </w:t>
      </w:r>
      <w:r>
        <w:rPr>
          <w:rFonts w:hint="eastAsia" w:eastAsiaTheme="minorEastAsia"/>
          <w:lang w:val="en-US" w:eastAsia="zh-CN"/>
        </w:rPr>
        <w:t>sym</w:t>
      </w:r>
      <w:r>
        <w:rPr>
          <w:rFonts w:eastAsiaTheme="minorEastAsia"/>
          <w:lang w:val="en-US" w:eastAsia="zh-CN"/>
        </w:rPr>
        <w:t xml:space="preserve">bols = DL BWP </w:t>
      </w:r>
      <m:oMath>
        <m:r>
          <m:rPr>
            <m:sty m:val="p"/>
          </m:rPr>
          <w:rPr>
            <w:rFonts w:ascii="Cambria Math" w:hAnsi="Cambria Math" w:eastAsiaTheme="minorEastAsia"/>
            <w:lang w:val="en-US" w:eastAsia="zh-CN"/>
          </w:rPr>
          <m:t>−</m:t>
        </m:r>
      </m:oMath>
      <w:r>
        <w:rPr>
          <w:rFonts w:hint="eastAsia" w:eastAsiaTheme="minorEastAsia"/>
          <w:lang w:val="en-US" w:eastAsia="zh-CN"/>
        </w:rPr>
        <w:t xml:space="preserve"> </w:t>
      </w:r>
      <w:r>
        <w:rPr>
          <w:rFonts w:eastAsiaTheme="minorEastAsia"/>
          <w:lang w:val="en-US" w:eastAsia="zh-CN"/>
        </w:rPr>
        <w:t>UL SBFD subband.</w:t>
      </w:r>
    </w:p>
    <w:p>
      <w:pPr>
        <w:jc w:val="both"/>
        <w:rPr>
          <w:rFonts w:eastAsiaTheme="minorEastAsia"/>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12</w:t>
      </w:r>
      <w:r>
        <w:rPr>
          <w:b/>
          <w:i/>
          <w:u w:val="single"/>
        </w:rPr>
        <w:fldChar w:fldCharType="end"/>
      </w:r>
      <w:r>
        <w:rPr>
          <w:b/>
          <w:i/>
          <w:u w:val="single"/>
          <w:lang w:eastAsia="zh-CN"/>
        </w:rPr>
        <w:t>:</w:t>
      </w:r>
      <w:r>
        <w:rPr>
          <w:rFonts w:eastAsiaTheme="minorEastAsia"/>
          <w:lang w:eastAsia="zh-CN"/>
        </w:rPr>
        <w:t xml:space="preserve"> For SBFD aware UE’s DL reception, the </w:t>
      </w:r>
      <w:r>
        <w:rPr>
          <w:bCs/>
          <w:iCs/>
          <w:lang w:eastAsia="zh-CN"/>
        </w:rPr>
        <w:t xml:space="preserve">UL subband is defined as </w:t>
      </w:r>
      <w:r>
        <w:rPr>
          <w:rFonts w:eastAsiaTheme="minorEastAsia"/>
          <w:lang w:eastAsia="zh-CN"/>
        </w:rPr>
        <w:t xml:space="preserve">DL resource allocation enhancement information or a common rate matching pattern for all DL signals/channels within UE’s active DL BWP in SBFD slots/symbols without the explicit </w:t>
      </w:r>
      <w:r>
        <w:rPr>
          <w:rFonts w:hint="eastAsia" w:eastAsiaTheme="minorEastAsia"/>
          <w:lang w:eastAsia="zh-CN"/>
        </w:rPr>
        <w:t>D</w:t>
      </w:r>
      <w:r>
        <w:rPr>
          <w:rFonts w:eastAsiaTheme="minorEastAsia"/>
          <w:lang w:eastAsia="zh-CN"/>
        </w:rPr>
        <w:t>L subband frequency location indication.</w:t>
      </w:r>
    </w:p>
    <w:p>
      <w:pPr>
        <w:jc w:val="both"/>
        <w:rPr>
          <w:rFonts w:ascii="Times" w:hAnsi="Times" w:eastAsia="Malgun Gothic"/>
          <w:bCs/>
          <w:szCs w:val="24"/>
          <w:lang w:eastAsia="en-US"/>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13</w:t>
      </w:r>
      <w:r>
        <w:rPr>
          <w:b/>
          <w:i/>
          <w:u w:val="single"/>
        </w:rPr>
        <w:fldChar w:fldCharType="end"/>
      </w:r>
      <w:r>
        <w:rPr>
          <w:b/>
          <w:i/>
          <w:u w:val="single"/>
          <w:lang w:eastAsia="zh-CN"/>
        </w:rPr>
        <w:t xml:space="preserve">: </w:t>
      </w:r>
      <w:r>
        <w:rPr>
          <w:rFonts w:ascii="Times" w:hAnsi="Times" w:eastAsia="Malgun Gothic"/>
          <w:szCs w:val="24"/>
          <w:lang w:eastAsia="zh-CN"/>
        </w:rPr>
        <w:t xml:space="preserve">For </w:t>
      </w:r>
      <w:r>
        <w:rPr>
          <w:rFonts w:ascii="Times" w:hAnsi="Times" w:eastAsia="Malgun Gothic"/>
          <w:szCs w:val="24"/>
          <w:lang w:eastAsia="en-US"/>
        </w:rPr>
        <w:t>SBFD operation</w:t>
      </w:r>
      <w:r>
        <w:rPr>
          <w:rFonts w:ascii="Times" w:hAnsi="Times" w:eastAsia="Malgun Gothic"/>
          <w:bCs/>
          <w:szCs w:val="24"/>
          <w:lang w:eastAsia="en-US"/>
        </w:rPr>
        <w:t xml:space="preserve"> in DL symbol/slot, the DL reception outside the DL subband(s) are allowed.</w:t>
      </w:r>
    </w:p>
    <w:p>
      <w:pPr>
        <w:pStyle w:val="134"/>
        <w:numPr>
          <w:ilvl w:val="0"/>
          <w:numId w:val="12"/>
        </w:numPr>
        <w:ind w:leftChars="0"/>
        <w:jc w:val="both"/>
        <w:rPr>
          <w:lang w:val="en-US" w:eastAsia="zh-CN"/>
        </w:rPr>
      </w:pPr>
      <w:r>
        <w:rPr>
          <w:lang w:eastAsia="zh-CN"/>
        </w:rPr>
        <w:t>At least support inter-UE CLI measurement outside DL subband.</w:t>
      </w:r>
    </w:p>
    <w:p>
      <w:pPr>
        <w:jc w:val="both"/>
        <w:rPr>
          <w:rFonts w:eastAsia="Malgun Gothic"/>
          <w:bCs/>
          <w:lang w:eastAsia="en-US"/>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14</w:t>
      </w:r>
      <w:r>
        <w:rPr>
          <w:b/>
          <w:i/>
          <w:u w:val="single"/>
        </w:rPr>
        <w:fldChar w:fldCharType="end"/>
      </w:r>
      <w:r>
        <w:rPr>
          <w:b/>
          <w:i/>
          <w:u w:val="single"/>
          <w:lang w:eastAsia="zh-CN"/>
        </w:rPr>
        <w:t xml:space="preserve">: </w:t>
      </w:r>
      <w:r>
        <w:rPr>
          <w:rFonts w:eastAsia="Malgun Gothic"/>
          <w:lang w:eastAsia="zh-CN"/>
        </w:rPr>
        <w:t xml:space="preserve">For </w:t>
      </w:r>
      <w:r>
        <w:rPr>
          <w:rFonts w:eastAsia="Malgun Gothic"/>
          <w:lang w:eastAsia="en-US"/>
        </w:rPr>
        <w:t>SBFD operation</w:t>
      </w:r>
      <w:r>
        <w:rPr>
          <w:rFonts w:eastAsia="Malgun Gothic"/>
          <w:bCs/>
          <w:lang w:eastAsia="en-US"/>
        </w:rPr>
        <w:t xml:space="preserve"> in flexible symbol/slot, Option 1 is supported for </w:t>
      </w:r>
      <w:r>
        <w:rPr>
          <w:rFonts w:eastAsia="Malgun Gothic"/>
        </w:rPr>
        <w:t>SBFD aware UE</w:t>
      </w:r>
      <w:r>
        <w:rPr>
          <w:rFonts w:eastAsia="Malgun Gothic"/>
          <w:bCs/>
          <w:lang w:eastAsia="en-US"/>
        </w:rPr>
        <w:t>.</w:t>
      </w:r>
    </w:p>
    <w:p>
      <w:pPr>
        <w:jc w:val="both"/>
        <w:rPr>
          <w:rFonts w:eastAsia="Malgun Gothic"/>
          <w:bCs/>
          <w:lang w:eastAsia="en-US"/>
        </w:rPr>
      </w:pPr>
    </w:p>
    <w:p>
      <w:pPr>
        <w:jc w:val="center"/>
        <w:rPr>
          <w:b/>
          <w:bCs/>
          <w:i/>
          <w:iCs/>
          <w:u w:val="single"/>
        </w:rPr>
      </w:pPr>
      <w:r>
        <w:rPr>
          <w:b/>
          <w:bCs/>
          <w:i/>
          <w:iCs/>
          <w:u w:val="single"/>
        </w:rPr>
        <w:t>Resource allocation enhancement</w:t>
      </w:r>
    </w:p>
    <w:p>
      <w:pPr>
        <w:jc w:val="both"/>
        <w:rPr>
          <w:rFonts w:eastAsiaTheme="minorEastAsia"/>
          <w:lang w:eastAsia="zh-CN"/>
        </w:rPr>
      </w:pPr>
      <w:r>
        <w:rPr>
          <w:b/>
          <w:i/>
          <w:u w:val="single"/>
        </w:rPr>
        <w:t>Proposal 15</w:t>
      </w:r>
      <w:r>
        <w:rPr>
          <w:b/>
          <w:i/>
          <w:u w:val="single"/>
          <w:lang w:eastAsia="zh-CN"/>
        </w:rPr>
        <w:t xml:space="preserve">: </w:t>
      </w:r>
      <w:r>
        <w:rPr>
          <w:rFonts w:eastAsiaTheme="minorEastAsia"/>
          <w:lang w:eastAsia="zh-CN"/>
        </w:rPr>
        <w:t>Support non-continuous PRB-to-CRB mapping of DL BWP on SBFD slots to solve the resource allocation issue of PDSCH/CSI-RS in DL subbands.</w:t>
      </w:r>
    </w:p>
    <w:p>
      <w:pPr>
        <w:jc w:val="both"/>
        <w:rPr>
          <w:rFonts w:eastAsiaTheme="minorEastAsia"/>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16</w:t>
      </w:r>
      <w:r>
        <w:rPr>
          <w:b/>
          <w:i/>
          <w:u w:val="single"/>
        </w:rPr>
        <w:fldChar w:fldCharType="end"/>
      </w:r>
      <w:r>
        <w:rPr>
          <w:b/>
          <w:i/>
          <w:u w:val="single"/>
          <w:lang w:eastAsia="zh-CN"/>
        </w:rPr>
        <w:t xml:space="preserve">: </w:t>
      </w:r>
      <w:r>
        <w:rPr>
          <w:lang w:eastAsia="zh-CN"/>
        </w:rPr>
        <w:t xml:space="preserve">The enhancements on PDCCH resource allocation or CORESET configuration can be further studied </w:t>
      </w:r>
      <w:r>
        <w:rPr>
          <w:rFonts w:eastAsiaTheme="minorEastAsia"/>
          <w:lang w:eastAsia="zh-CN"/>
        </w:rPr>
        <w:t>considering the PDCCH reception across SBFD symbol and non-SBFD symbol.</w:t>
      </w:r>
    </w:p>
    <w:p>
      <w:pPr>
        <w:jc w:val="both"/>
        <w:rPr>
          <w:b/>
          <w:i/>
          <w:u w:val="single"/>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17</w:t>
      </w:r>
      <w:r>
        <w:rPr>
          <w:b/>
          <w:i/>
          <w:u w:val="single"/>
        </w:rPr>
        <w:fldChar w:fldCharType="end"/>
      </w:r>
      <w:r>
        <w:rPr>
          <w:b/>
          <w:i/>
          <w:u w:val="single"/>
          <w:lang w:eastAsia="zh-CN"/>
        </w:rPr>
        <w:t xml:space="preserve">: </w:t>
      </w:r>
      <w:r>
        <w:rPr>
          <w:rFonts w:ascii="Times" w:hAnsi="Times" w:eastAsiaTheme="minorEastAsia"/>
          <w:szCs w:val="24"/>
        </w:rPr>
        <w:t>For a single DCI format used to schedule PDSCH/PUSCH in SBFD symbol/slot or non-SBFD symbol/slot, the following two options about the DCI size determination can be further studied:</w:t>
      </w:r>
    </w:p>
    <w:p>
      <w:pPr>
        <w:pStyle w:val="134"/>
        <w:numPr>
          <w:ilvl w:val="0"/>
          <w:numId w:val="18"/>
        </w:numPr>
        <w:ind w:leftChars="0"/>
        <w:rPr>
          <w:rFonts w:eastAsiaTheme="minorEastAsia"/>
        </w:rPr>
      </w:pPr>
      <w:r>
        <w:rPr>
          <w:rFonts w:eastAsiaTheme="minorEastAsia"/>
        </w:rPr>
        <w:t>Option 1: The same DCI size is used for scheduling SBFD symbol/slot or non-SBFD symbol/slot, e.g., the FDRA field size is determined on the maximum value of UL subband in SBFD symbol/slot and UL BWP in non-SBFD symbol/slot;</w:t>
      </w:r>
    </w:p>
    <w:p>
      <w:pPr>
        <w:pStyle w:val="134"/>
        <w:numPr>
          <w:ilvl w:val="0"/>
          <w:numId w:val="18"/>
        </w:numPr>
        <w:ind w:leftChars="0"/>
        <w:rPr>
          <w:rFonts w:eastAsiaTheme="minorEastAsia"/>
        </w:rPr>
      </w:pPr>
      <w:r>
        <w:rPr>
          <w:rFonts w:eastAsiaTheme="minorEastAsia"/>
        </w:rPr>
        <w:t xml:space="preserve">Option 2: Different DCI sizes are used for scheduling SBFD symbol/slot and non-SBFD symbol/slot respectively and the </w:t>
      </w:r>
      <w:r>
        <w:rPr>
          <w:lang w:eastAsia="zh-CN"/>
        </w:rPr>
        <w:t xml:space="preserve">DCI size </w:t>
      </w:r>
      <w:r>
        <w:rPr>
          <w:rFonts w:eastAsiaTheme="minorEastAsia"/>
        </w:rPr>
        <w:t>alignment</w:t>
      </w:r>
      <w:r>
        <w:rPr>
          <w:lang w:eastAsia="zh-CN"/>
        </w:rPr>
        <w:t xml:space="preserve"> can be performed per CORESET.</w:t>
      </w:r>
    </w:p>
    <w:p>
      <w:pPr>
        <w:jc w:val="both"/>
        <w:rPr>
          <w:rFonts w:eastAsiaTheme="minorEastAsia"/>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18</w:t>
      </w:r>
      <w:r>
        <w:rPr>
          <w:b/>
          <w:i/>
          <w:u w:val="single"/>
        </w:rPr>
        <w:fldChar w:fldCharType="end"/>
      </w:r>
      <w:r>
        <w:rPr>
          <w:b/>
          <w:i/>
          <w:u w:val="single"/>
          <w:lang w:eastAsia="zh-CN"/>
        </w:rPr>
        <w:t xml:space="preserve">: </w:t>
      </w:r>
      <w:r>
        <w:rPr>
          <w:rFonts w:eastAsiaTheme="minorEastAsia"/>
        </w:rPr>
        <w:t>For UL transmission, the following parameters can be separately configured in SBFD symbols and non-SBFD symbols:</w:t>
      </w:r>
    </w:p>
    <w:p>
      <w:pPr>
        <w:pStyle w:val="134"/>
        <w:numPr>
          <w:ilvl w:val="0"/>
          <w:numId w:val="18"/>
        </w:numPr>
        <w:ind w:leftChars="0"/>
        <w:rPr>
          <w:rFonts w:eastAsiaTheme="minorEastAsia"/>
        </w:rPr>
      </w:pPr>
      <w:r>
        <w:rPr>
          <w:lang w:eastAsia="zh-CN"/>
        </w:rPr>
        <w:t>PUSCH/PUCCH frequency hopping offsets;</w:t>
      </w:r>
    </w:p>
    <w:p>
      <w:pPr>
        <w:pStyle w:val="134"/>
        <w:numPr>
          <w:ilvl w:val="0"/>
          <w:numId w:val="18"/>
        </w:numPr>
        <w:ind w:leftChars="0"/>
        <w:rPr>
          <w:lang w:eastAsia="zh-CN"/>
        </w:rPr>
      </w:pPr>
      <w:r>
        <w:rPr>
          <w:lang w:eastAsia="zh-CN"/>
        </w:rPr>
        <w:t>PUCCH resource sets;</w:t>
      </w:r>
    </w:p>
    <w:p>
      <w:pPr>
        <w:pStyle w:val="134"/>
        <w:numPr>
          <w:ilvl w:val="0"/>
          <w:numId w:val="18"/>
        </w:numPr>
        <w:ind w:leftChars="0"/>
        <w:rPr>
          <w:lang w:eastAsia="zh-CN"/>
        </w:rPr>
      </w:pPr>
      <w:r>
        <w:rPr>
          <w:rFonts w:hint="eastAsia"/>
          <w:lang w:eastAsia="zh-CN"/>
        </w:rPr>
        <w:t>S</w:t>
      </w:r>
      <w:r>
        <w:rPr>
          <w:lang w:eastAsia="zh-CN"/>
        </w:rPr>
        <w:t>RS resources.</w:t>
      </w:r>
    </w:p>
    <w:p>
      <w:pPr>
        <w:jc w:val="both"/>
        <w:rPr>
          <w:rFonts w:eastAsiaTheme="minorEastAsia"/>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19</w:t>
      </w:r>
      <w:r>
        <w:rPr>
          <w:b/>
          <w:i/>
          <w:u w:val="single"/>
        </w:rPr>
        <w:fldChar w:fldCharType="end"/>
      </w:r>
      <w:r>
        <w:rPr>
          <w:b/>
          <w:i/>
          <w:u w:val="single"/>
          <w:lang w:eastAsia="zh-CN"/>
        </w:rPr>
        <w:t xml:space="preserve">: </w:t>
      </w:r>
      <w:r>
        <w:rPr>
          <w:rFonts w:eastAsiaTheme="minorEastAsia"/>
        </w:rPr>
        <w:t xml:space="preserve">For </w:t>
      </w:r>
      <w:r>
        <w:rPr>
          <w:rFonts w:hint="eastAsia" w:eastAsiaTheme="minorEastAsia"/>
          <w:lang w:eastAsia="zh-CN"/>
        </w:rPr>
        <w:t>s</w:t>
      </w:r>
      <w:r>
        <w:rPr>
          <w:rFonts w:eastAsiaTheme="minorEastAsia"/>
        </w:rPr>
        <w:t>cheduled/configured PDSCH/PUSCH/PUCCH with repetitions, the following two options can be further studied:</w:t>
      </w:r>
    </w:p>
    <w:p>
      <w:pPr>
        <w:pStyle w:val="134"/>
        <w:numPr>
          <w:ilvl w:val="0"/>
          <w:numId w:val="20"/>
        </w:numPr>
        <w:ind w:leftChars="0"/>
        <w:jc w:val="both"/>
        <w:rPr>
          <w:lang w:eastAsia="zh-CN"/>
        </w:rPr>
      </w:pPr>
      <w:r>
        <w:rPr>
          <w:rFonts w:eastAsiaTheme="minorEastAsia"/>
          <w:lang w:eastAsia="zh-CN"/>
        </w:rPr>
        <w:t xml:space="preserve">Option 1: </w:t>
      </w:r>
      <w:r>
        <w:rPr>
          <w:rFonts w:eastAsiaTheme="minorEastAsia"/>
        </w:rPr>
        <w:t xml:space="preserve">PDSCH/PUSCH/PUCCH repetition </w:t>
      </w:r>
      <w:r>
        <w:rPr>
          <w:lang w:eastAsia="zh-CN"/>
        </w:rPr>
        <w:t>is only across SBFD slots or non-SBFD slots;</w:t>
      </w:r>
    </w:p>
    <w:p>
      <w:pPr>
        <w:pStyle w:val="134"/>
        <w:numPr>
          <w:ilvl w:val="0"/>
          <w:numId w:val="20"/>
        </w:numPr>
        <w:ind w:leftChars="0"/>
        <w:jc w:val="both"/>
        <w:rPr>
          <w:lang w:eastAsia="zh-CN"/>
        </w:rPr>
      </w:pPr>
      <w:r>
        <w:rPr>
          <w:lang w:eastAsia="zh-CN"/>
        </w:rPr>
        <w:t xml:space="preserve">Option 2: </w:t>
      </w:r>
      <w:r>
        <w:rPr>
          <w:rFonts w:eastAsiaTheme="minorEastAsia"/>
        </w:rPr>
        <w:t xml:space="preserve">PDSCH/PUSCH/PUCCH repetition </w:t>
      </w:r>
      <w:r>
        <w:rPr>
          <w:lang w:eastAsia="zh-CN"/>
        </w:rPr>
        <w:t>can be across SBFD slots and non-SBFD slots with some automatic adjustment on FDRA between SBFD slots and non-SBFD slots.</w:t>
      </w:r>
    </w:p>
    <w:p>
      <w:pPr>
        <w:jc w:val="both"/>
        <w:rPr>
          <w:rFonts w:eastAsiaTheme="minorEastAsia"/>
        </w:rPr>
      </w:pPr>
      <w:r>
        <w:rPr>
          <w:b/>
          <w:i/>
          <w:u w:val="single"/>
        </w:rPr>
        <w:t>Proposal 20</w:t>
      </w:r>
      <w:r>
        <w:rPr>
          <w:b/>
          <w:i/>
          <w:u w:val="single"/>
          <w:lang w:eastAsia="zh-CN"/>
        </w:rPr>
        <w:t xml:space="preserve">: </w:t>
      </w:r>
      <w:r>
        <w:rPr>
          <w:rFonts w:eastAsiaTheme="minorEastAsia"/>
        </w:rPr>
        <w:t>For scheduled/configured TBoMS across SBFD symbols and non-SBFD symbols with or without repetition, the following two options can be further studied:</w:t>
      </w:r>
    </w:p>
    <w:p>
      <w:pPr>
        <w:pStyle w:val="134"/>
        <w:numPr>
          <w:ilvl w:val="0"/>
          <w:numId w:val="20"/>
        </w:numPr>
        <w:ind w:leftChars="0"/>
        <w:jc w:val="both"/>
        <w:rPr>
          <w:lang w:eastAsia="zh-CN"/>
        </w:rPr>
      </w:pPr>
      <w:r>
        <w:rPr>
          <w:rFonts w:eastAsiaTheme="minorEastAsia"/>
          <w:lang w:eastAsia="zh-CN"/>
        </w:rPr>
        <w:t xml:space="preserve">Option 1: </w:t>
      </w:r>
      <w:r>
        <w:rPr>
          <w:rFonts w:eastAsiaTheme="minorEastAsia"/>
        </w:rPr>
        <w:t xml:space="preserve">The available slots of TBoMS </w:t>
      </w:r>
      <w:r>
        <w:rPr>
          <w:lang w:eastAsia="zh-CN"/>
        </w:rPr>
        <w:t>are only across SBFD slots or non-SBFD slots;</w:t>
      </w:r>
    </w:p>
    <w:p>
      <w:pPr>
        <w:pStyle w:val="134"/>
        <w:numPr>
          <w:ilvl w:val="0"/>
          <w:numId w:val="20"/>
        </w:numPr>
        <w:ind w:leftChars="0"/>
        <w:jc w:val="both"/>
        <w:rPr>
          <w:lang w:eastAsia="zh-CN"/>
        </w:rPr>
      </w:pPr>
      <w:r>
        <w:rPr>
          <w:lang w:eastAsia="zh-CN"/>
        </w:rPr>
        <w:t xml:space="preserve">Option 2: </w:t>
      </w:r>
      <w:r>
        <w:rPr>
          <w:rFonts w:eastAsiaTheme="minorEastAsia"/>
        </w:rPr>
        <w:t xml:space="preserve">The available slots of TBoMS </w:t>
      </w:r>
      <w:r>
        <w:rPr>
          <w:lang w:eastAsia="zh-CN"/>
        </w:rPr>
        <w:t xml:space="preserve">can be across SBFD slots and non-SBFD slots with some automatic adjustment on FDRA between SBFD slots and non-SBFD slots. The same automatic adjustment on FDRA of </w:t>
      </w:r>
      <w:r>
        <w:rPr>
          <w:rFonts w:eastAsiaTheme="minorEastAsia"/>
        </w:rPr>
        <w:t>PDSCH/PUSCH/PUCCH repetition can be applied on TBoMS.</w:t>
      </w:r>
    </w:p>
    <w:p>
      <w:pPr>
        <w:jc w:val="both"/>
        <w:rPr>
          <w:rFonts w:eastAsiaTheme="minorEastAsia"/>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21</w:t>
      </w:r>
      <w:r>
        <w:rPr>
          <w:b/>
          <w:i/>
          <w:u w:val="single"/>
        </w:rPr>
        <w:fldChar w:fldCharType="end"/>
      </w:r>
      <w:r>
        <w:rPr>
          <w:b/>
          <w:i/>
          <w:u w:val="single"/>
          <w:lang w:eastAsia="zh-CN"/>
        </w:rPr>
        <w:t xml:space="preserve">: </w:t>
      </w:r>
      <w:r>
        <w:rPr>
          <w:rFonts w:eastAsiaTheme="minorEastAsia"/>
        </w:rPr>
        <w:t xml:space="preserve">For </w:t>
      </w:r>
      <w:r>
        <w:rPr>
          <w:rFonts w:eastAsiaTheme="minorEastAsia"/>
          <w:lang w:eastAsia="zh-CN"/>
        </w:rPr>
        <w:t>m</w:t>
      </w:r>
      <w:r>
        <w:rPr>
          <w:rFonts w:eastAsiaTheme="minorEastAsia"/>
        </w:rPr>
        <w:t>ulti-PUSCH/PDSCH scheduled by a single DCI in SBFD symbols and non-SBFD symbols, the FDRA field are interpreted differently on SBFD symbol and non-SBFD symbol.</w:t>
      </w:r>
    </w:p>
    <w:p>
      <w:pPr>
        <w:jc w:val="both"/>
        <w:rPr>
          <w:rFonts w:eastAsiaTheme="minorEastAsia"/>
        </w:rPr>
      </w:pPr>
    </w:p>
    <w:p>
      <w:pPr>
        <w:jc w:val="center"/>
        <w:rPr>
          <w:b/>
          <w:bCs/>
          <w:i/>
          <w:iCs/>
          <w:u w:val="single"/>
        </w:rPr>
      </w:pPr>
      <w:r>
        <w:rPr>
          <w:b/>
          <w:bCs/>
          <w:i/>
          <w:iCs/>
          <w:u w:val="single"/>
        </w:rPr>
        <w:t>UE collision handling between UL and DL</w:t>
      </w:r>
    </w:p>
    <w:p>
      <w:pPr>
        <w:jc w:val="both"/>
        <w:rPr>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22</w:t>
      </w:r>
      <w:r>
        <w:rPr>
          <w:b/>
          <w:i/>
          <w:u w:val="single"/>
        </w:rPr>
        <w:fldChar w:fldCharType="end"/>
      </w:r>
      <w:r>
        <w:rPr>
          <w:b/>
          <w:i/>
          <w:u w:val="single"/>
          <w:lang w:eastAsia="zh-CN"/>
        </w:rPr>
        <w:t xml:space="preserve">: </w:t>
      </w:r>
      <w:r>
        <w:rPr>
          <w:bCs/>
          <w:iCs/>
          <w:lang w:eastAsia="zh-CN"/>
        </w:rPr>
        <w:t>I</w:t>
      </w:r>
      <w:r>
        <w:t xml:space="preserve">t is preferred to not allow </w:t>
      </w:r>
      <w:r>
        <w:rPr>
          <w:lang w:eastAsia="zh-CN"/>
        </w:rPr>
        <w:t>the SBFD symbols overlap with the symbols that are indicated for reception of SS/PBCH blocks</w:t>
      </w:r>
      <w:r>
        <w:rPr>
          <w:bCs/>
          <w:lang w:eastAsia="zh-CN"/>
        </w:rPr>
        <w:t>.</w:t>
      </w:r>
    </w:p>
    <w:p>
      <w:pPr>
        <w:jc w:val="both"/>
        <w:rPr>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23</w:t>
      </w:r>
      <w:r>
        <w:rPr>
          <w:b/>
          <w:i/>
          <w:u w:val="single"/>
        </w:rPr>
        <w:fldChar w:fldCharType="end"/>
      </w:r>
      <w:r>
        <w:rPr>
          <w:b/>
          <w:i/>
          <w:u w:val="single"/>
          <w:lang w:eastAsia="zh-CN"/>
        </w:rPr>
        <w:t xml:space="preserve">: </w:t>
      </w:r>
      <w:r>
        <w:rPr>
          <w:lang w:val="en-US" w:eastAsia="zh-CN"/>
        </w:rPr>
        <w:t xml:space="preserve">ROs </w:t>
      </w:r>
      <w:r>
        <w:rPr>
          <w:lang w:eastAsia="zh-CN"/>
        </w:rPr>
        <w:t xml:space="preserve">for </w:t>
      </w:r>
      <w:r>
        <w:rPr>
          <w:lang w:val="en-US" w:eastAsia="zh-CN"/>
        </w:rPr>
        <w:t xml:space="preserve">contention-free RACH can be configured </w:t>
      </w:r>
      <w:r>
        <w:rPr>
          <w:lang w:eastAsia="zh-CN"/>
        </w:rPr>
        <w:t xml:space="preserve">in UL subband in SBFD symbols. </w:t>
      </w:r>
      <w:r>
        <w:rPr>
          <w:lang w:val="en-US" w:eastAsia="zh-CN"/>
        </w:rPr>
        <w:t xml:space="preserve">ROs </w:t>
      </w:r>
      <w:r>
        <w:rPr>
          <w:lang w:eastAsia="zh-CN"/>
        </w:rPr>
        <w:t xml:space="preserve">for </w:t>
      </w:r>
      <w:r>
        <w:rPr>
          <w:lang w:val="en-US" w:eastAsia="zh-CN"/>
        </w:rPr>
        <w:t xml:space="preserve">contention-based RACH cannot be configured </w:t>
      </w:r>
      <w:r>
        <w:rPr>
          <w:lang w:eastAsia="zh-CN"/>
        </w:rPr>
        <w:t>in UL subband in SBFD symbols.</w:t>
      </w:r>
    </w:p>
    <w:p>
      <w:pPr>
        <w:tabs>
          <w:tab w:val="left" w:pos="0"/>
        </w:tabs>
        <w:spacing w:before="0" w:after="120"/>
        <w:jc w:val="both"/>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24</w:t>
      </w:r>
      <w:r>
        <w:rPr>
          <w:b/>
          <w:i/>
          <w:u w:val="single"/>
        </w:rPr>
        <w:fldChar w:fldCharType="end"/>
      </w:r>
      <w:r>
        <w:rPr>
          <w:b/>
          <w:i/>
          <w:u w:val="single"/>
          <w:lang w:eastAsia="zh-CN"/>
        </w:rPr>
        <w:t>:</w:t>
      </w:r>
      <w:r>
        <w:rPr>
          <w:bCs/>
          <w:iCs/>
          <w:lang w:eastAsia="zh-CN"/>
        </w:rPr>
        <w:t xml:space="preserve"> UE is not expected to be</w:t>
      </w:r>
      <w:r>
        <w:rPr>
          <w:rFonts w:eastAsia="Malgun Gothic"/>
        </w:rPr>
        <w:t xml:space="preserve"> dynamically scheduled UL transmissions and DL receptions</w:t>
      </w:r>
      <w:r>
        <w:t xml:space="preserve"> in the same SBFD symbol.</w:t>
      </w:r>
    </w:p>
    <w:p>
      <w:pPr>
        <w:tabs>
          <w:tab w:val="left" w:pos="0"/>
        </w:tabs>
        <w:spacing w:before="0" w:after="120"/>
        <w:jc w:val="both"/>
        <w:rPr>
          <w:bCs/>
          <w:iCs/>
          <w:lang w:eastAsia="zh-CN"/>
        </w:rPr>
      </w:pPr>
      <w:r>
        <w:rPr>
          <w:b/>
          <w:i/>
          <w:u w:val="single"/>
        </w:rPr>
        <w:t>Proposal 25</w:t>
      </w:r>
      <w:r>
        <w:rPr>
          <w:b/>
          <w:i/>
          <w:u w:val="single"/>
          <w:lang w:eastAsia="zh-CN"/>
        </w:rPr>
        <w:t>:</w:t>
      </w:r>
      <w:r>
        <w:rPr>
          <w:bCs/>
          <w:iCs/>
          <w:lang w:eastAsia="zh-CN"/>
        </w:rPr>
        <w:t xml:space="preserve"> For the collision between dynamic DL receptions and semi-statically configured UL transmissions </w:t>
      </w:r>
      <w:r>
        <w:t>in the same SBFD symbol</w:t>
      </w:r>
      <w:r>
        <w:rPr>
          <w:bCs/>
          <w:iCs/>
          <w:lang w:eastAsia="zh-CN"/>
        </w:rPr>
        <w:t xml:space="preserve">, UE receives the dynamical </w:t>
      </w:r>
      <w:r>
        <w:rPr>
          <w:rFonts w:eastAsia="Malgun Gothic"/>
        </w:rPr>
        <w:t>DL and drop the UL transmissions</w:t>
      </w:r>
      <w:r>
        <w:t>.</w:t>
      </w:r>
    </w:p>
    <w:p>
      <w:pPr>
        <w:tabs>
          <w:tab w:val="left" w:pos="0"/>
        </w:tabs>
        <w:spacing w:before="0" w:after="120"/>
        <w:jc w:val="both"/>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26</w:t>
      </w:r>
      <w:r>
        <w:rPr>
          <w:b/>
          <w:i/>
          <w:u w:val="single"/>
        </w:rPr>
        <w:fldChar w:fldCharType="end"/>
      </w:r>
      <w:r>
        <w:rPr>
          <w:b/>
          <w:i/>
          <w:u w:val="single"/>
          <w:lang w:eastAsia="zh-CN"/>
        </w:rPr>
        <w:t>:</w:t>
      </w:r>
      <w:r>
        <w:rPr>
          <w:bCs/>
          <w:iCs/>
          <w:lang w:eastAsia="zh-CN"/>
        </w:rPr>
        <w:t xml:space="preserve"> For the collision between dynamic UL transmissions and semi-statically configured DL receptions </w:t>
      </w:r>
      <w:r>
        <w:t>in the same SBFD symbol</w:t>
      </w:r>
      <w:r>
        <w:rPr>
          <w:bCs/>
          <w:iCs/>
          <w:lang w:eastAsia="zh-CN"/>
        </w:rPr>
        <w:t xml:space="preserve">, UE transmits the dynamical </w:t>
      </w:r>
      <w:r>
        <w:rPr>
          <w:rFonts w:eastAsia="Malgun Gothic"/>
        </w:rPr>
        <w:t>UL and drop the DL receptions</w:t>
      </w:r>
      <w:r>
        <w:t>.</w:t>
      </w:r>
    </w:p>
    <w:p>
      <w:pPr>
        <w:tabs>
          <w:tab w:val="left" w:pos="0"/>
        </w:tabs>
        <w:spacing w:before="0" w:after="120"/>
        <w:jc w:val="both"/>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27</w:t>
      </w:r>
      <w:r>
        <w:rPr>
          <w:b/>
          <w:i/>
          <w:u w:val="single"/>
        </w:rPr>
        <w:fldChar w:fldCharType="end"/>
      </w:r>
      <w:r>
        <w:rPr>
          <w:b/>
          <w:i/>
          <w:u w:val="single"/>
          <w:lang w:eastAsia="zh-CN"/>
        </w:rPr>
        <w:t>:</w:t>
      </w:r>
      <w:r>
        <w:rPr>
          <w:bCs/>
          <w:iCs/>
          <w:lang w:eastAsia="zh-CN"/>
        </w:rPr>
        <w:t xml:space="preserve"> For the collision between </w:t>
      </w:r>
      <w:r>
        <w:t xml:space="preserve">semi-statically </w:t>
      </w:r>
      <w:r>
        <w:rPr>
          <w:rFonts w:eastAsia="Malgun Gothic"/>
        </w:rPr>
        <w:t xml:space="preserve">configured UL transmissions and </w:t>
      </w:r>
      <w:r>
        <w:t>semi-statically</w:t>
      </w:r>
      <w:r>
        <w:rPr>
          <w:rFonts w:eastAsia="Malgun Gothic"/>
        </w:rPr>
        <w:t xml:space="preserve"> configured DL receptions</w:t>
      </w:r>
      <w:r>
        <w:t xml:space="preserve"> in the same SBFD symbol</w:t>
      </w:r>
      <w:r>
        <w:rPr>
          <w:bCs/>
          <w:iCs/>
          <w:lang w:eastAsia="zh-CN"/>
        </w:rPr>
        <w:t xml:space="preserve">, UE follows the explicit indication of the link </w:t>
      </w:r>
      <w:r>
        <w:rPr>
          <w:rFonts w:eastAsiaTheme="minorEastAsia"/>
          <w:lang w:eastAsia="zh-CN"/>
        </w:rPr>
        <w:t>direction of this SBFD symbol</w:t>
      </w:r>
      <w:r>
        <w:t>.</w:t>
      </w:r>
    </w:p>
    <w:p>
      <w:pPr>
        <w:pStyle w:val="134"/>
        <w:numPr>
          <w:ilvl w:val="0"/>
          <w:numId w:val="20"/>
        </w:numPr>
        <w:ind w:leftChars="0"/>
        <w:jc w:val="both"/>
        <w:rPr>
          <w:rFonts w:eastAsia="MS Mincho"/>
        </w:rPr>
      </w:pPr>
      <w:r>
        <w:rPr>
          <w:rFonts w:eastAsiaTheme="minorEastAsia"/>
          <w:lang w:eastAsia="zh-CN"/>
        </w:rPr>
        <w:t xml:space="preserve">From </w:t>
      </w:r>
      <w:r>
        <w:rPr>
          <w:lang w:eastAsia="zh-CN"/>
        </w:rPr>
        <w:t xml:space="preserve">SBFD aware </w:t>
      </w:r>
      <w:r>
        <w:rPr>
          <w:rFonts w:eastAsiaTheme="minorEastAsia"/>
          <w:lang w:eastAsia="zh-CN"/>
        </w:rPr>
        <w:t xml:space="preserve">UE’s perspective, </w:t>
      </w:r>
      <w:r>
        <w:rPr>
          <w:bCs/>
          <w:iCs/>
          <w:lang w:eastAsia="zh-CN"/>
        </w:rPr>
        <w:t xml:space="preserve">the link </w:t>
      </w:r>
      <w:r>
        <w:rPr>
          <w:rFonts w:eastAsiaTheme="minorEastAsia"/>
          <w:lang w:eastAsia="zh-CN"/>
        </w:rPr>
        <w:t>direction of this SBFD symbol can be indicated by UE-specific RRC signalling, SFI, and/or scheduling DCI;</w:t>
      </w:r>
    </w:p>
    <w:p>
      <w:pPr>
        <w:pStyle w:val="134"/>
        <w:numPr>
          <w:ilvl w:val="0"/>
          <w:numId w:val="20"/>
        </w:numPr>
        <w:spacing w:before="0" w:after="120"/>
        <w:ind w:leftChars="0"/>
        <w:jc w:val="both"/>
        <w:rPr>
          <w:rFonts w:eastAsia="MS Mincho"/>
        </w:rPr>
      </w:pPr>
      <w:r>
        <w:rPr>
          <w:lang w:eastAsia="zh-CN"/>
        </w:rPr>
        <w:t xml:space="preserve">If </w:t>
      </w:r>
      <w:r>
        <w:rPr>
          <w:rFonts w:eastAsiaTheme="minorEastAsia"/>
          <w:lang w:eastAsia="zh-CN"/>
        </w:rPr>
        <w:t xml:space="preserve">UE-specific RRC signalling indicates “F”, SFI indicates “F”, and there is no scheduling DCI, a default rule (e.g., </w:t>
      </w:r>
      <w:r>
        <w:rPr>
          <w:lang w:eastAsia="zh-CN"/>
        </w:rPr>
        <w:t>higher layer configured DL or higher layer configured UL has higher priority</w:t>
      </w:r>
      <w:r>
        <w:rPr>
          <w:rFonts w:eastAsiaTheme="minorEastAsia"/>
          <w:lang w:eastAsia="zh-CN"/>
        </w:rPr>
        <w:t>) can be further studied.</w:t>
      </w:r>
    </w:p>
    <w:p>
      <w:pPr>
        <w:jc w:val="both"/>
        <w:rPr>
          <w:rFonts w:eastAsiaTheme="minorEastAsia"/>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28</w:t>
      </w:r>
      <w:r>
        <w:rPr>
          <w:b/>
          <w:i/>
          <w:u w:val="single"/>
        </w:rPr>
        <w:fldChar w:fldCharType="end"/>
      </w:r>
      <w:r>
        <w:rPr>
          <w:b/>
          <w:i/>
          <w:u w:val="single"/>
          <w:lang w:eastAsia="zh-CN"/>
        </w:rPr>
        <w:t>:</w:t>
      </w:r>
      <w:r>
        <w:rPr>
          <w:bCs/>
          <w:iCs/>
          <w:lang w:eastAsia="zh-CN"/>
        </w:rPr>
        <w:t xml:space="preserve"> There is no collision between transmissions/receptions with transmission direction of subbands when explicit signalling is used to </w:t>
      </w:r>
      <w:r>
        <w:rPr>
          <w:rFonts w:eastAsiaTheme="minorEastAsia"/>
          <w:lang w:eastAsia="zh-CN"/>
        </w:rPr>
        <w:t>indicate the DL or UL link direction of SBFD symbol.</w:t>
      </w:r>
    </w:p>
    <w:p>
      <w:pPr>
        <w:pStyle w:val="2"/>
        <w:jc w:val="both"/>
        <w:rPr>
          <w:rFonts w:ascii="Times New Roman" w:hAnsi="Times New Roman" w:eastAsiaTheme="minorEastAsia"/>
          <w:lang w:eastAsia="zh-CN"/>
        </w:rPr>
      </w:pPr>
      <w:r>
        <w:rPr>
          <w:rFonts w:ascii="Times New Roman" w:hAnsi="Times New Roman" w:eastAsiaTheme="minorEastAsia"/>
          <w:lang w:eastAsia="zh-CN"/>
        </w:rPr>
        <w:t>References</w:t>
      </w:r>
    </w:p>
    <w:p>
      <w:pPr>
        <w:pStyle w:val="134"/>
        <w:numPr>
          <w:ilvl w:val="0"/>
          <w:numId w:val="24"/>
        </w:numPr>
        <w:ind w:leftChars="0"/>
        <w:jc w:val="both"/>
        <w:rPr>
          <w:rFonts w:ascii="Times New Roman" w:hAnsi="Times New Roman"/>
          <w:lang w:val="en-US" w:eastAsia="zh-CN"/>
        </w:rPr>
      </w:pPr>
      <w:r>
        <w:rPr>
          <w:rFonts w:ascii="Times New Roman" w:hAnsi="Times New Roman"/>
          <w:lang w:val="en-US" w:eastAsia="zh-CN"/>
        </w:rPr>
        <w:t>Chairman’s notes RAN1#111 meeting</w:t>
      </w:r>
    </w:p>
    <w:p>
      <w:pPr>
        <w:pStyle w:val="134"/>
        <w:numPr>
          <w:ilvl w:val="0"/>
          <w:numId w:val="24"/>
        </w:numPr>
        <w:ind w:leftChars="0"/>
        <w:jc w:val="both"/>
        <w:rPr>
          <w:rFonts w:ascii="Times New Roman" w:hAnsi="Times New Roman"/>
          <w:lang w:val="en-US" w:eastAsia="zh-CN"/>
        </w:rPr>
      </w:pPr>
      <w:r>
        <w:rPr>
          <w:rFonts w:ascii="Times New Roman" w:hAnsi="Times New Roman"/>
          <w:lang w:val="en-US" w:eastAsia="zh-CN"/>
        </w:rPr>
        <w:t>R1-2301001, Discussion on potential enhancements on flexible dynamic TDD, CMCC</w:t>
      </w:r>
    </w:p>
    <w:p>
      <w:pPr>
        <w:pStyle w:val="134"/>
        <w:numPr>
          <w:ilvl w:val="0"/>
          <w:numId w:val="24"/>
        </w:numPr>
        <w:ind w:leftChars="0"/>
        <w:jc w:val="both"/>
        <w:rPr>
          <w:rFonts w:ascii="Times New Roman" w:hAnsi="Times New Roman"/>
          <w:lang w:val="en-US" w:eastAsia="zh-CN"/>
        </w:rPr>
      </w:pPr>
      <w:r>
        <w:rPr>
          <w:bCs/>
          <w:lang w:eastAsia="zh-CN"/>
        </w:rPr>
        <w:t>R1-2212993, Final Summary on evaluation on NR duplex evolution, Moderator (CMCC)</w:t>
      </w:r>
    </w:p>
    <w:p>
      <w:pPr>
        <w:pStyle w:val="134"/>
        <w:numPr>
          <w:ilvl w:val="0"/>
          <w:numId w:val="24"/>
        </w:numPr>
        <w:ind w:leftChars="0"/>
        <w:jc w:val="both"/>
        <w:rPr>
          <w:rFonts w:ascii="Times New Roman" w:hAnsi="Times New Roman"/>
          <w:lang w:val="en-US" w:eastAsia="zh-CN"/>
        </w:rPr>
      </w:pPr>
      <w:r>
        <w:rPr>
          <w:rFonts w:ascii="Times New Roman" w:hAnsi="Times New Roman"/>
          <w:lang w:val="en-US" w:eastAsia="zh-CN"/>
        </w:rPr>
        <w:t>R1-2212733, Summary #1 of subband non-overlapping full duplex, Moderator (CATT)</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01E25AA"/>
    <w:multiLevelType w:val="multilevel"/>
    <w:tmpl w:val="001E25A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4AA1266"/>
    <w:multiLevelType w:val="multilevel"/>
    <w:tmpl w:val="04AA126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59C788D"/>
    <w:multiLevelType w:val="multilevel"/>
    <w:tmpl w:val="259C788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B40C6F"/>
    <w:multiLevelType w:val="multilevel"/>
    <w:tmpl w:val="26B40C6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D6C4403"/>
    <w:multiLevelType w:val="multilevel"/>
    <w:tmpl w:val="2D6C4403"/>
    <w:lvl w:ilvl="0" w:tentative="0">
      <w:start w:val="1"/>
      <w:numFmt w:val="bullet"/>
      <w:lvlText w:val=""/>
      <w:lvlJc w:val="left"/>
      <w:pPr>
        <w:tabs>
          <w:tab w:val="left" w:pos="0"/>
        </w:tabs>
        <w:ind w:left="420" w:hanging="420"/>
      </w:pPr>
      <w:rPr>
        <w:rFonts w:hint="default" w:ascii="Wingdings" w:hAnsi="Wingdings" w:cs="Wingdings"/>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6">
    <w:nsid w:val="2DD27E87"/>
    <w:multiLevelType w:val="multilevel"/>
    <w:tmpl w:val="2DD27E8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E065AF9"/>
    <w:multiLevelType w:val="multilevel"/>
    <w:tmpl w:val="2E065AF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2E566001"/>
    <w:multiLevelType w:val="multilevel"/>
    <w:tmpl w:val="2E566001"/>
    <w:lvl w:ilvl="0" w:tentative="0">
      <w:start w:val="1"/>
      <w:numFmt w:val="decimal"/>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9">
    <w:nsid w:val="339F1DA1"/>
    <w:multiLevelType w:val="multilevel"/>
    <w:tmpl w:val="339F1D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5EF60FA"/>
    <w:multiLevelType w:val="multilevel"/>
    <w:tmpl w:val="35EF60F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39E07464"/>
    <w:multiLevelType w:val="multilevel"/>
    <w:tmpl w:val="39E0746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1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E7F56CD"/>
    <w:multiLevelType w:val="multilevel"/>
    <w:tmpl w:val="3E7F56C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rPr>
        <w:sz w:val="20"/>
        <w:szCs w:val="13"/>
      </w:r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6">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7">
    <w:nsid w:val="5BE405D8"/>
    <w:multiLevelType w:val="multilevel"/>
    <w:tmpl w:val="5BE405D8"/>
    <w:lvl w:ilvl="0" w:tentative="0">
      <w:start w:val="1"/>
      <w:numFmt w:val="upperLetter"/>
      <w:lvlText w:val="(%1)"/>
      <w:lvlJc w:val="left"/>
      <w:pPr>
        <w:ind w:left="-480" w:hanging="360"/>
      </w:pPr>
      <w:rPr>
        <w:rFonts w:hint="default"/>
        <w:b/>
      </w:rPr>
    </w:lvl>
    <w:lvl w:ilvl="1" w:tentative="0">
      <w:start w:val="1"/>
      <w:numFmt w:val="lowerLetter"/>
      <w:lvlText w:val="%2."/>
      <w:lvlJc w:val="left"/>
      <w:pPr>
        <w:ind w:left="240" w:hanging="360"/>
      </w:pPr>
    </w:lvl>
    <w:lvl w:ilvl="2" w:tentative="0">
      <w:start w:val="1"/>
      <w:numFmt w:val="lowerRoman"/>
      <w:lvlText w:val="%3."/>
      <w:lvlJc w:val="right"/>
      <w:pPr>
        <w:ind w:left="960" w:hanging="180"/>
      </w:pPr>
    </w:lvl>
    <w:lvl w:ilvl="3" w:tentative="0">
      <w:start w:val="1"/>
      <w:numFmt w:val="decimal"/>
      <w:lvlText w:val="%4."/>
      <w:lvlJc w:val="left"/>
      <w:pPr>
        <w:ind w:left="1680" w:hanging="360"/>
      </w:pPr>
    </w:lvl>
    <w:lvl w:ilvl="4" w:tentative="0">
      <w:start w:val="1"/>
      <w:numFmt w:val="lowerLetter"/>
      <w:lvlText w:val="%5."/>
      <w:lvlJc w:val="left"/>
      <w:pPr>
        <w:ind w:left="2400" w:hanging="360"/>
      </w:pPr>
    </w:lvl>
    <w:lvl w:ilvl="5" w:tentative="0">
      <w:start w:val="1"/>
      <w:numFmt w:val="lowerRoman"/>
      <w:lvlText w:val="%6."/>
      <w:lvlJc w:val="right"/>
      <w:pPr>
        <w:ind w:left="3120" w:hanging="180"/>
      </w:pPr>
    </w:lvl>
    <w:lvl w:ilvl="6" w:tentative="0">
      <w:start w:val="1"/>
      <w:numFmt w:val="decimal"/>
      <w:lvlText w:val="%7."/>
      <w:lvlJc w:val="left"/>
      <w:pPr>
        <w:ind w:left="3840" w:hanging="360"/>
      </w:pPr>
    </w:lvl>
    <w:lvl w:ilvl="7" w:tentative="0">
      <w:start w:val="1"/>
      <w:numFmt w:val="lowerLetter"/>
      <w:lvlText w:val="%8."/>
      <w:lvlJc w:val="left"/>
      <w:pPr>
        <w:ind w:left="4560" w:hanging="360"/>
      </w:pPr>
    </w:lvl>
    <w:lvl w:ilvl="8" w:tentative="0">
      <w:start w:val="1"/>
      <w:numFmt w:val="lowerRoman"/>
      <w:lvlText w:val="%9."/>
      <w:lvlJc w:val="right"/>
      <w:pPr>
        <w:ind w:left="5280" w:hanging="180"/>
      </w:pPr>
    </w:lvl>
  </w:abstractNum>
  <w:abstractNum w:abstractNumId="18">
    <w:nsid w:val="5F0049B4"/>
    <w:multiLevelType w:val="multilevel"/>
    <w:tmpl w:val="5F0049B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50F304C"/>
    <w:multiLevelType w:val="multilevel"/>
    <w:tmpl w:val="650F30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82C240B"/>
    <w:multiLevelType w:val="multilevel"/>
    <w:tmpl w:val="682C240B"/>
    <w:lvl w:ilvl="0" w:tentative="0">
      <w:start w:val="0"/>
      <w:numFmt w:val="bullet"/>
      <w:lvlText w:val="-"/>
      <w:lvlJc w:val="left"/>
      <w:pPr>
        <w:tabs>
          <w:tab w:val="left" w:pos="0"/>
        </w:tabs>
        <w:ind w:left="420" w:hanging="420"/>
      </w:pPr>
      <w:rPr>
        <w:rFonts w:hint="default" w:ascii="Times" w:hAnsi="Times" w:cs="Times"/>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21">
    <w:nsid w:val="68932C81"/>
    <w:multiLevelType w:val="multilevel"/>
    <w:tmpl w:val="68932C81"/>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2">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2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5"/>
  </w:num>
  <w:num w:numId="2">
    <w:abstractNumId w:val="0"/>
  </w:num>
  <w:num w:numId="3">
    <w:abstractNumId w:val="23"/>
  </w:num>
  <w:num w:numId="4">
    <w:abstractNumId w:val="16"/>
  </w:num>
  <w:num w:numId="5">
    <w:abstractNumId w:val="12"/>
    <w:lvlOverride w:ilvl="0">
      <w:startOverride w:val="1"/>
    </w:lvlOverride>
  </w:num>
  <w:num w:numId="6">
    <w:abstractNumId w:val="22"/>
  </w:num>
  <w:num w:numId="7">
    <w:abstractNumId w:val="18"/>
  </w:num>
  <w:num w:numId="8">
    <w:abstractNumId w:val="14"/>
  </w:num>
  <w:num w:numId="9">
    <w:abstractNumId w:val="9"/>
  </w:num>
  <w:num w:numId="10">
    <w:abstractNumId w:val="19"/>
  </w:num>
  <w:num w:numId="11">
    <w:abstractNumId w:val="20"/>
  </w:num>
  <w:num w:numId="12">
    <w:abstractNumId w:val="3"/>
  </w:num>
  <w:num w:numId="13">
    <w:abstractNumId w:val="17"/>
  </w:num>
  <w:num w:numId="14">
    <w:abstractNumId w:val="21"/>
  </w:num>
  <w:num w:numId="15">
    <w:abstractNumId w:val="10"/>
  </w:num>
  <w:num w:numId="16">
    <w:abstractNumId w:val="2"/>
  </w:num>
  <w:num w:numId="17">
    <w:abstractNumId w:val="4"/>
  </w:num>
  <w:num w:numId="18">
    <w:abstractNumId w:val="7"/>
  </w:num>
  <w:num w:numId="19">
    <w:abstractNumId w:val="1"/>
  </w:num>
  <w:num w:numId="20">
    <w:abstractNumId w:val="6"/>
  </w:num>
  <w:num w:numId="21">
    <w:abstractNumId w:val="5"/>
  </w:num>
  <w:num w:numId="22">
    <w:abstractNumId w:val="11"/>
  </w:num>
  <w:num w:numId="23">
    <w:abstractNumId w:val="8"/>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8E6"/>
    <w:rsid w:val="00000993"/>
    <w:rsid w:val="00000E2B"/>
    <w:rsid w:val="000010DF"/>
    <w:rsid w:val="000010F6"/>
    <w:rsid w:val="0000131E"/>
    <w:rsid w:val="00001322"/>
    <w:rsid w:val="0000142B"/>
    <w:rsid w:val="000022B8"/>
    <w:rsid w:val="00002325"/>
    <w:rsid w:val="0000234E"/>
    <w:rsid w:val="0000271C"/>
    <w:rsid w:val="00002D15"/>
    <w:rsid w:val="00002D43"/>
    <w:rsid w:val="00002E36"/>
    <w:rsid w:val="00003046"/>
    <w:rsid w:val="000030EB"/>
    <w:rsid w:val="000031DB"/>
    <w:rsid w:val="000032B7"/>
    <w:rsid w:val="000035F6"/>
    <w:rsid w:val="00003762"/>
    <w:rsid w:val="00003D7F"/>
    <w:rsid w:val="00004192"/>
    <w:rsid w:val="00004511"/>
    <w:rsid w:val="000047B7"/>
    <w:rsid w:val="00004A3E"/>
    <w:rsid w:val="00004ACC"/>
    <w:rsid w:val="00004C48"/>
    <w:rsid w:val="00004CA4"/>
    <w:rsid w:val="00004E10"/>
    <w:rsid w:val="00004E7B"/>
    <w:rsid w:val="00004EFB"/>
    <w:rsid w:val="0000513B"/>
    <w:rsid w:val="00005220"/>
    <w:rsid w:val="000056AE"/>
    <w:rsid w:val="000056B5"/>
    <w:rsid w:val="00005833"/>
    <w:rsid w:val="0000586E"/>
    <w:rsid w:val="00005B39"/>
    <w:rsid w:val="00005F8B"/>
    <w:rsid w:val="000060C6"/>
    <w:rsid w:val="00006119"/>
    <w:rsid w:val="00006186"/>
    <w:rsid w:val="000067CF"/>
    <w:rsid w:val="00006AD6"/>
    <w:rsid w:val="00006E55"/>
    <w:rsid w:val="00006EA3"/>
    <w:rsid w:val="00006FA8"/>
    <w:rsid w:val="00007012"/>
    <w:rsid w:val="0000706F"/>
    <w:rsid w:val="0000735D"/>
    <w:rsid w:val="00007C4C"/>
    <w:rsid w:val="00007E66"/>
    <w:rsid w:val="000102C4"/>
    <w:rsid w:val="00010764"/>
    <w:rsid w:val="00010988"/>
    <w:rsid w:val="00010BDE"/>
    <w:rsid w:val="00010F61"/>
    <w:rsid w:val="000111CE"/>
    <w:rsid w:val="00011217"/>
    <w:rsid w:val="000114D5"/>
    <w:rsid w:val="000116EE"/>
    <w:rsid w:val="0001188D"/>
    <w:rsid w:val="000118C2"/>
    <w:rsid w:val="000120B6"/>
    <w:rsid w:val="00012506"/>
    <w:rsid w:val="00012608"/>
    <w:rsid w:val="000126D3"/>
    <w:rsid w:val="000127FE"/>
    <w:rsid w:val="000129B9"/>
    <w:rsid w:val="00012ECA"/>
    <w:rsid w:val="000130CA"/>
    <w:rsid w:val="00013147"/>
    <w:rsid w:val="00013366"/>
    <w:rsid w:val="000135DB"/>
    <w:rsid w:val="00013601"/>
    <w:rsid w:val="00013A08"/>
    <w:rsid w:val="00013FEF"/>
    <w:rsid w:val="0001459D"/>
    <w:rsid w:val="00014796"/>
    <w:rsid w:val="000154C2"/>
    <w:rsid w:val="00015753"/>
    <w:rsid w:val="00015902"/>
    <w:rsid w:val="00015A1C"/>
    <w:rsid w:val="000164FB"/>
    <w:rsid w:val="000165B6"/>
    <w:rsid w:val="000166B2"/>
    <w:rsid w:val="00016A9A"/>
    <w:rsid w:val="00016C16"/>
    <w:rsid w:val="00016CFB"/>
    <w:rsid w:val="00016E91"/>
    <w:rsid w:val="0001718E"/>
    <w:rsid w:val="000171B5"/>
    <w:rsid w:val="000176A8"/>
    <w:rsid w:val="00017879"/>
    <w:rsid w:val="00017A1A"/>
    <w:rsid w:val="00017B27"/>
    <w:rsid w:val="00017C8D"/>
    <w:rsid w:val="00017E82"/>
    <w:rsid w:val="00017E87"/>
    <w:rsid w:val="000201D1"/>
    <w:rsid w:val="00020406"/>
    <w:rsid w:val="00020526"/>
    <w:rsid w:val="00020884"/>
    <w:rsid w:val="00020CAE"/>
    <w:rsid w:val="000210A5"/>
    <w:rsid w:val="0002171F"/>
    <w:rsid w:val="00021781"/>
    <w:rsid w:val="0002182F"/>
    <w:rsid w:val="0002184D"/>
    <w:rsid w:val="00021884"/>
    <w:rsid w:val="0002198E"/>
    <w:rsid w:val="00021A14"/>
    <w:rsid w:val="00021CFC"/>
    <w:rsid w:val="000220AB"/>
    <w:rsid w:val="00022774"/>
    <w:rsid w:val="00022D66"/>
    <w:rsid w:val="00022D93"/>
    <w:rsid w:val="00023163"/>
    <w:rsid w:val="000233B7"/>
    <w:rsid w:val="000234D5"/>
    <w:rsid w:val="00023A19"/>
    <w:rsid w:val="00023A85"/>
    <w:rsid w:val="00023BCD"/>
    <w:rsid w:val="00023FBF"/>
    <w:rsid w:val="00024170"/>
    <w:rsid w:val="000241B0"/>
    <w:rsid w:val="0002420F"/>
    <w:rsid w:val="000242A3"/>
    <w:rsid w:val="00024888"/>
    <w:rsid w:val="0002489D"/>
    <w:rsid w:val="00024A32"/>
    <w:rsid w:val="00024BC9"/>
    <w:rsid w:val="00024E61"/>
    <w:rsid w:val="00024FFE"/>
    <w:rsid w:val="0002530B"/>
    <w:rsid w:val="0002533B"/>
    <w:rsid w:val="000255A0"/>
    <w:rsid w:val="0002589D"/>
    <w:rsid w:val="00025A02"/>
    <w:rsid w:val="00025DEA"/>
    <w:rsid w:val="000261AD"/>
    <w:rsid w:val="000268BE"/>
    <w:rsid w:val="000268D3"/>
    <w:rsid w:val="0002699D"/>
    <w:rsid w:val="00026B07"/>
    <w:rsid w:val="00026D69"/>
    <w:rsid w:val="0002764E"/>
    <w:rsid w:val="0002768C"/>
    <w:rsid w:val="00027751"/>
    <w:rsid w:val="0002776D"/>
    <w:rsid w:val="000277C6"/>
    <w:rsid w:val="000279B0"/>
    <w:rsid w:val="00027BD7"/>
    <w:rsid w:val="00027F10"/>
    <w:rsid w:val="000301E7"/>
    <w:rsid w:val="000303C3"/>
    <w:rsid w:val="000303D4"/>
    <w:rsid w:val="000304E9"/>
    <w:rsid w:val="0003058D"/>
    <w:rsid w:val="000307DA"/>
    <w:rsid w:val="0003141C"/>
    <w:rsid w:val="000314A0"/>
    <w:rsid w:val="0003176E"/>
    <w:rsid w:val="0003193C"/>
    <w:rsid w:val="000319B0"/>
    <w:rsid w:val="00031D46"/>
    <w:rsid w:val="00031F03"/>
    <w:rsid w:val="000321A4"/>
    <w:rsid w:val="00032289"/>
    <w:rsid w:val="00032478"/>
    <w:rsid w:val="000325C3"/>
    <w:rsid w:val="000330C6"/>
    <w:rsid w:val="000338D8"/>
    <w:rsid w:val="00033ABA"/>
    <w:rsid w:val="00033B1E"/>
    <w:rsid w:val="00033C4D"/>
    <w:rsid w:val="00033EA1"/>
    <w:rsid w:val="00033F30"/>
    <w:rsid w:val="00033F8F"/>
    <w:rsid w:val="00033FBB"/>
    <w:rsid w:val="00034549"/>
    <w:rsid w:val="00034589"/>
    <w:rsid w:val="0003472D"/>
    <w:rsid w:val="00034E3F"/>
    <w:rsid w:val="00034ECC"/>
    <w:rsid w:val="00034FB4"/>
    <w:rsid w:val="00034FF6"/>
    <w:rsid w:val="0003510D"/>
    <w:rsid w:val="00035340"/>
    <w:rsid w:val="00035499"/>
    <w:rsid w:val="0003554D"/>
    <w:rsid w:val="0003569D"/>
    <w:rsid w:val="000356C4"/>
    <w:rsid w:val="00035BE7"/>
    <w:rsid w:val="00035C22"/>
    <w:rsid w:val="00035EE6"/>
    <w:rsid w:val="00036263"/>
    <w:rsid w:val="00036340"/>
    <w:rsid w:val="0003676B"/>
    <w:rsid w:val="00036958"/>
    <w:rsid w:val="00036BC5"/>
    <w:rsid w:val="00036CFE"/>
    <w:rsid w:val="00037293"/>
    <w:rsid w:val="000374B2"/>
    <w:rsid w:val="000378BB"/>
    <w:rsid w:val="00037BB3"/>
    <w:rsid w:val="00037C7E"/>
    <w:rsid w:val="000406C9"/>
    <w:rsid w:val="00040722"/>
    <w:rsid w:val="0004091F"/>
    <w:rsid w:val="00040A69"/>
    <w:rsid w:val="000415F1"/>
    <w:rsid w:val="00041910"/>
    <w:rsid w:val="00041961"/>
    <w:rsid w:val="00041AEB"/>
    <w:rsid w:val="00042088"/>
    <w:rsid w:val="00042177"/>
    <w:rsid w:val="000425B7"/>
    <w:rsid w:val="00042776"/>
    <w:rsid w:val="00042AFB"/>
    <w:rsid w:val="00042B3C"/>
    <w:rsid w:val="00042D46"/>
    <w:rsid w:val="00043866"/>
    <w:rsid w:val="00043B3D"/>
    <w:rsid w:val="00043B6C"/>
    <w:rsid w:val="00043D95"/>
    <w:rsid w:val="00043F0B"/>
    <w:rsid w:val="00044000"/>
    <w:rsid w:val="000443DA"/>
    <w:rsid w:val="00044469"/>
    <w:rsid w:val="000446D9"/>
    <w:rsid w:val="000449EF"/>
    <w:rsid w:val="00044B56"/>
    <w:rsid w:val="00044C9A"/>
    <w:rsid w:val="00044D6D"/>
    <w:rsid w:val="00044DD6"/>
    <w:rsid w:val="00045521"/>
    <w:rsid w:val="00045782"/>
    <w:rsid w:val="000458ED"/>
    <w:rsid w:val="0004597C"/>
    <w:rsid w:val="000459EF"/>
    <w:rsid w:val="0004645D"/>
    <w:rsid w:val="000465B4"/>
    <w:rsid w:val="00046684"/>
    <w:rsid w:val="00046B84"/>
    <w:rsid w:val="00046D1E"/>
    <w:rsid w:val="00046F98"/>
    <w:rsid w:val="00047156"/>
    <w:rsid w:val="000474A0"/>
    <w:rsid w:val="000474DE"/>
    <w:rsid w:val="0004763B"/>
    <w:rsid w:val="00047647"/>
    <w:rsid w:val="00047BA1"/>
    <w:rsid w:val="0005017D"/>
    <w:rsid w:val="0005018F"/>
    <w:rsid w:val="00051747"/>
    <w:rsid w:val="00051A49"/>
    <w:rsid w:val="00051BC4"/>
    <w:rsid w:val="00051D76"/>
    <w:rsid w:val="00051F64"/>
    <w:rsid w:val="00051FFE"/>
    <w:rsid w:val="000523A2"/>
    <w:rsid w:val="00052608"/>
    <w:rsid w:val="0005269D"/>
    <w:rsid w:val="000526D5"/>
    <w:rsid w:val="000527C0"/>
    <w:rsid w:val="0005293E"/>
    <w:rsid w:val="00053490"/>
    <w:rsid w:val="0005353B"/>
    <w:rsid w:val="0005382A"/>
    <w:rsid w:val="00053B1F"/>
    <w:rsid w:val="00053EF4"/>
    <w:rsid w:val="0005408B"/>
    <w:rsid w:val="00054810"/>
    <w:rsid w:val="000551E5"/>
    <w:rsid w:val="0005528D"/>
    <w:rsid w:val="000554C4"/>
    <w:rsid w:val="000554F0"/>
    <w:rsid w:val="000555C4"/>
    <w:rsid w:val="00055B16"/>
    <w:rsid w:val="00055D01"/>
    <w:rsid w:val="00055DE0"/>
    <w:rsid w:val="00055E7F"/>
    <w:rsid w:val="0005634E"/>
    <w:rsid w:val="0005682F"/>
    <w:rsid w:val="00056941"/>
    <w:rsid w:val="00056FE6"/>
    <w:rsid w:val="00057380"/>
    <w:rsid w:val="000577CF"/>
    <w:rsid w:val="00057992"/>
    <w:rsid w:val="000579CD"/>
    <w:rsid w:val="00057A2F"/>
    <w:rsid w:val="00057B39"/>
    <w:rsid w:val="00057B41"/>
    <w:rsid w:val="00057D0D"/>
    <w:rsid w:val="000604C3"/>
    <w:rsid w:val="0006063D"/>
    <w:rsid w:val="0006084A"/>
    <w:rsid w:val="0006093F"/>
    <w:rsid w:val="00060BD0"/>
    <w:rsid w:val="00060FF5"/>
    <w:rsid w:val="00061113"/>
    <w:rsid w:val="000611DE"/>
    <w:rsid w:val="000612AB"/>
    <w:rsid w:val="00061855"/>
    <w:rsid w:val="0006195D"/>
    <w:rsid w:val="000619DC"/>
    <w:rsid w:val="00061C5D"/>
    <w:rsid w:val="00062277"/>
    <w:rsid w:val="00062323"/>
    <w:rsid w:val="00062547"/>
    <w:rsid w:val="00062BDF"/>
    <w:rsid w:val="00062CA3"/>
    <w:rsid w:val="00062E9F"/>
    <w:rsid w:val="00062F60"/>
    <w:rsid w:val="000631DC"/>
    <w:rsid w:val="0006340C"/>
    <w:rsid w:val="000634C4"/>
    <w:rsid w:val="000635B0"/>
    <w:rsid w:val="000639E3"/>
    <w:rsid w:val="00063A9C"/>
    <w:rsid w:val="00063AAA"/>
    <w:rsid w:val="00063ABD"/>
    <w:rsid w:val="00063B2E"/>
    <w:rsid w:val="00063B62"/>
    <w:rsid w:val="00063C67"/>
    <w:rsid w:val="00064332"/>
    <w:rsid w:val="000647CC"/>
    <w:rsid w:val="00064E27"/>
    <w:rsid w:val="00064F02"/>
    <w:rsid w:val="00064F16"/>
    <w:rsid w:val="00065209"/>
    <w:rsid w:val="0006532F"/>
    <w:rsid w:val="00065792"/>
    <w:rsid w:val="000657A6"/>
    <w:rsid w:val="00065AF8"/>
    <w:rsid w:val="00065CBB"/>
    <w:rsid w:val="000661C0"/>
    <w:rsid w:val="0006639E"/>
    <w:rsid w:val="00066964"/>
    <w:rsid w:val="00066A3E"/>
    <w:rsid w:val="00066D51"/>
    <w:rsid w:val="00066E87"/>
    <w:rsid w:val="00067121"/>
    <w:rsid w:val="00067476"/>
    <w:rsid w:val="000676A0"/>
    <w:rsid w:val="0006784D"/>
    <w:rsid w:val="000678A1"/>
    <w:rsid w:val="000679E1"/>
    <w:rsid w:val="00067B6B"/>
    <w:rsid w:val="00067DD2"/>
    <w:rsid w:val="000701A8"/>
    <w:rsid w:val="000702BE"/>
    <w:rsid w:val="000704DB"/>
    <w:rsid w:val="00070791"/>
    <w:rsid w:val="000707E7"/>
    <w:rsid w:val="00070864"/>
    <w:rsid w:val="00070904"/>
    <w:rsid w:val="00070961"/>
    <w:rsid w:val="00070B61"/>
    <w:rsid w:val="00070BD2"/>
    <w:rsid w:val="00070C14"/>
    <w:rsid w:val="00070C42"/>
    <w:rsid w:val="00070D79"/>
    <w:rsid w:val="000714DF"/>
    <w:rsid w:val="00072005"/>
    <w:rsid w:val="0007219D"/>
    <w:rsid w:val="000722B8"/>
    <w:rsid w:val="000725C8"/>
    <w:rsid w:val="00072615"/>
    <w:rsid w:val="00072755"/>
    <w:rsid w:val="00072B9E"/>
    <w:rsid w:val="00072D86"/>
    <w:rsid w:val="00073125"/>
    <w:rsid w:val="00073340"/>
    <w:rsid w:val="00073380"/>
    <w:rsid w:val="0007338E"/>
    <w:rsid w:val="00073448"/>
    <w:rsid w:val="00073BFB"/>
    <w:rsid w:val="0007425F"/>
    <w:rsid w:val="0007436C"/>
    <w:rsid w:val="000743C5"/>
    <w:rsid w:val="00074A0C"/>
    <w:rsid w:val="00075061"/>
    <w:rsid w:val="00075077"/>
    <w:rsid w:val="00075548"/>
    <w:rsid w:val="00075648"/>
    <w:rsid w:val="000757EF"/>
    <w:rsid w:val="00075DA6"/>
    <w:rsid w:val="00076154"/>
    <w:rsid w:val="0007645E"/>
    <w:rsid w:val="0007658E"/>
    <w:rsid w:val="00076678"/>
    <w:rsid w:val="000769C7"/>
    <w:rsid w:val="00076A0C"/>
    <w:rsid w:val="00076A88"/>
    <w:rsid w:val="00076B12"/>
    <w:rsid w:val="0007708F"/>
    <w:rsid w:val="000771A1"/>
    <w:rsid w:val="0007777E"/>
    <w:rsid w:val="000779AF"/>
    <w:rsid w:val="00077C9A"/>
    <w:rsid w:val="00077D8A"/>
    <w:rsid w:val="00077D99"/>
    <w:rsid w:val="00080190"/>
    <w:rsid w:val="0008024A"/>
    <w:rsid w:val="00080FF4"/>
    <w:rsid w:val="00081062"/>
    <w:rsid w:val="0008118A"/>
    <w:rsid w:val="00081640"/>
    <w:rsid w:val="00081BC7"/>
    <w:rsid w:val="00081C1F"/>
    <w:rsid w:val="00081C2D"/>
    <w:rsid w:val="0008207F"/>
    <w:rsid w:val="00082126"/>
    <w:rsid w:val="0008232D"/>
    <w:rsid w:val="000824A5"/>
    <w:rsid w:val="00082535"/>
    <w:rsid w:val="000829B4"/>
    <w:rsid w:val="00082A07"/>
    <w:rsid w:val="00083612"/>
    <w:rsid w:val="00083B0B"/>
    <w:rsid w:val="00083CC7"/>
    <w:rsid w:val="00084114"/>
    <w:rsid w:val="000842ED"/>
    <w:rsid w:val="00084431"/>
    <w:rsid w:val="00084776"/>
    <w:rsid w:val="000848D8"/>
    <w:rsid w:val="00084A00"/>
    <w:rsid w:val="00084BCD"/>
    <w:rsid w:val="00085276"/>
    <w:rsid w:val="000858C2"/>
    <w:rsid w:val="00085A7D"/>
    <w:rsid w:val="00085DEB"/>
    <w:rsid w:val="00085F7B"/>
    <w:rsid w:val="00086D8E"/>
    <w:rsid w:val="0008718C"/>
    <w:rsid w:val="000871E8"/>
    <w:rsid w:val="000879E6"/>
    <w:rsid w:val="00087EB0"/>
    <w:rsid w:val="00090193"/>
    <w:rsid w:val="000905E5"/>
    <w:rsid w:val="000906F7"/>
    <w:rsid w:val="00090784"/>
    <w:rsid w:val="00090864"/>
    <w:rsid w:val="00090B59"/>
    <w:rsid w:val="00090FA4"/>
    <w:rsid w:val="00090FC3"/>
    <w:rsid w:val="0009129D"/>
    <w:rsid w:val="0009141A"/>
    <w:rsid w:val="00091498"/>
    <w:rsid w:val="000916AA"/>
    <w:rsid w:val="000916F2"/>
    <w:rsid w:val="00091851"/>
    <w:rsid w:val="00091938"/>
    <w:rsid w:val="00091A1A"/>
    <w:rsid w:val="00091A23"/>
    <w:rsid w:val="00091E6D"/>
    <w:rsid w:val="00091FC8"/>
    <w:rsid w:val="0009224C"/>
    <w:rsid w:val="00092636"/>
    <w:rsid w:val="00092755"/>
    <w:rsid w:val="000928A2"/>
    <w:rsid w:val="000928F7"/>
    <w:rsid w:val="00092B49"/>
    <w:rsid w:val="00092B6E"/>
    <w:rsid w:val="00092BD4"/>
    <w:rsid w:val="00092CAF"/>
    <w:rsid w:val="0009308C"/>
    <w:rsid w:val="00093257"/>
    <w:rsid w:val="000934B7"/>
    <w:rsid w:val="000936B2"/>
    <w:rsid w:val="000936D5"/>
    <w:rsid w:val="00093812"/>
    <w:rsid w:val="00093FC3"/>
    <w:rsid w:val="00094337"/>
    <w:rsid w:val="0009436E"/>
    <w:rsid w:val="000943EE"/>
    <w:rsid w:val="00094490"/>
    <w:rsid w:val="000944C3"/>
    <w:rsid w:val="00094632"/>
    <w:rsid w:val="00094843"/>
    <w:rsid w:val="0009499B"/>
    <w:rsid w:val="00094D06"/>
    <w:rsid w:val="00094D3A"/>
    <w:rsid w:val="00094EAA"/>
    <w:rsid w:val="000951F9"/>
    <w:rsid w:val="0009523D"/>
    <w:rsid w:val="00095856"/>
    <w:rsid w:val="00095D7E"/>
    <w:rsid w:val="00095FB3"/>
    <w:rsid w:val="0009600A"/>
    <w:rsid w:val="00096346"/>
    <w:rsid w:val="00096610"/>
    <w:rsid w:val="00096641"/>
    <w:rsid w:val="0009672C"/>
    <w:rsid w:val="00096C13"/>
    <w:rsid w:val="00096C91"/>
    <w:rsid w:val="00096E0B"/>
    <w:rsid w:val="00096FDB"/>
    <w:rsid w:val="000976B9"/>
    <w:rsid w:val="000978D8"/>
    <w:rsid w:val="00097CD4"/>
    <w:rsid w:val="000A00CF"/>
    <w:rsid w:val="000A01A9"/>
    <w:rsid w:val="000A0239"/>
    <w:rsid w:val="000A0446"/>
    <w:rsid w:val="000A04C9"/>
    <w:rsid w:val="000A06AC"/>
    <w:rsid w:val="000A09A8"/>
    <w:rsid w:val="000A09CC"/>
    <w:rsid w:val="000A13B3"/>
    <w:rsid w:val="000A1407"/>
    <w:rsid w:val="000A1887"/>
    <w:rsid w:val="000A188A"/>
    <w:rsid w:val="000A1BE3"/>
    <w:rsid w:val="000A1ECD"/>
    <w:rsid w:val="000A2144"/>
    <w:rsid w:val="000A22A0"/>
    <w:rsid w:val="000A258F"/>
    <w:rsid w:val="000A2614"/>
    <w:rsid w:val="000A3059"/>
    <w:rsid w:val="000A310A"/>
    <w:rsid w:val="000A33F0"/>
    <w:rsid w:val="000A3C06"/>
    <w:rsid w:val="000A3E82"/>
    <w:rsid w:val="000A4347"/>
    <w:rsid w:val="000A44DE"/>
    <w:rsid w:val="000A4AD5"/>
    <w:rsid w:val="000A4CB0"/>
    <w:rsid w:val="000A4EE8"/>
    <w:rsid w:val="000A5101"/>
    <w:rsid w:val="000A511E"/>
    <w:rsid w:val="000A552F"/>
    <w:rsid w:val="000A55B3"/>
    <w:rsid w:val="000A57BE"/>
    <w:rsid w:val="000A57C4"/>
    <w:rsid w:val="000A5ACB"/>
    <w:rsid w:val="000A5B15"/>
    <w:rsid w:val="000A5B3C"/>
    <w:rsid w:val="000A5B89"/>
    <w:rsid w:val="000A5BC6"/>
    <w:rsid w:val="000A5E1D"/>
    <w:rsid w:val="000A5F65"/>
    <w:rsid w:val="000A680D"/>
    <w:rsid w:val="000A684B"/>
    <w:rsid w:val="000A689F"/>
    <w:rsid w:val="000A68CA"/>
    <w:rsid w:val="000A6A47"/>
    <w:rsid w:val="000A6A59"/>
    <w:rsid w:val="000A6C74"/>
    <w:rsid w:val="000A6EB8"/>
    <w:rsid w:val="000A718C"/>
    <w:rsid w:val="000A758C"/>
    <w:rsid w:val="000A7C54"/>
    <w:rsid w:val="000A7C7A"/>
    <w:rsid w:val="000A7D97"/>
    <w:rsid w:val="000A7FE8"/>
    <w:rsid w:val="000B006E"/>
    <w:rsid w:val="000B04FF"/>
    <w:rsid w:val="000B0507"/>
    <w:rsid w:val="000B0563"/>
    <w:rsid w:val="000B05C4"/>
    <w:rsid w:val="000B0CC8"/>
    <w:rsid w:val="000B0E31"/>
    <w:rsid w:val="000B0F83"/>
    <w:rsid w:val="000B143F"/>
    <w:rsid w:val="000B15C0"/>
    <w:rsid w:val="000B193F"/>
    <w:rsid w:val="000B19BE"/>
    <w:rsid w:val="000B1E80"/>
    <w:rsid w:val="000B2553"/>
    <w:rsid w:val="000B2A4D"/>
    <w:rsid w:val="000B2E1C"/>
    <w:rsid w:val="000B30C5"/>
    <w:rsid w:val="000B3641"/>
    <w:rsid w:val="000B36BC"/>
    <w:rsid w:val="000B3928"/>
    <w:rsid w:val="000B3C84"/>
    <w:rsid w:val="000B40A8"/>
    <w:rsid w:val="000B4163"/>
    <w:rsid w:val="000B4232"/>
    <w:rsid w:val="000B4245"/>
    <w:rsid w:val="000B42C3"/>
    <w:rsid w:val="000B451D"/>
    <w:rsid w:val="000B4B8A"/>
    <w:rsid w:val="000B4BA1"/>
    <w:rsid w:val="000B4BA8"/>
    <w:rsid w:val="000B4E17"/>
    <w:rsid w:val="000B51F4"/>
    <w:rsid w:val="000B54E2"/>
    <w:rsid w:val="000B5558"/>
    <w:rsid w:val="000B5654"/>
    <w:rsid w:val="000B567C"/>
    <w:rsid w:val="000B5931"/>
    <w:rsid w:val="000B5A35"/>
    <w:rsid w:val="000B5C14"/>
    <w:rsid w:val="000B5EBC"/>
    <w:rsid w:val="000B5F05"/>
    <w:rsid w:val="000B61CD"/>
    <w:rsid w:val="000B626A"/>
    <w:rsid w:val="000B6DE8"/>
    <w:rsid w:val="000B6E1C"/>
    <w:rsid w:val="000B6E6F"/>
    <w:rsid w:val="000B7007"/>
    <w:rsid w:val="000B7016"/>
    <w:rsid w:val="000B76CB"/>
    <w:rsid w:val="000B7885"/>
    <w:rsid w:val="000B78B2"/>
    <w:rsid w:val="000B7A3D"/>
    <w:rsid w:val="000B7E01"/>
    <w:rsid w:val="000B7E25"/>
    <w:rsid w:val="000B7E6E"/>
    <w:rsid w:val="000C003E"/>
    <w:rsid w:val="000C011A"/>
    <w:rsid w:val="000C026D"/>
    <w:rsid w:val="000C03E9"/>
    <w:rsid w:val="000C0663"/>
    <w:rsid w:val="000C06A3"/>
    <w:rsid w:val="000C078F"/>
    <w:rsid w:val="000C0B13"/>
    <w:rsid w:val="000C0BC6"/>
    <w:rsid w:val="000C0DA3"/>
    <w:rsid w:val="000C0F59"/>
    <w:rsid w:val="000C10C1"/>
    <w:rsid w:val="000C1412"/>
    <w:rsid w:val="000C1851"/>
    <w:rsid w:val="000C1A0B"/>
    <w:rsid w:val="000C1DB1"/>
    <w:rsid w:val="000C1FC4"/>
    <w:rsid w:val="000C1FEC"/>
    <w:rsid w:val="000C2B0E"/>
    <w:rsid w:val="000C3173"/>
    <w:rsid w:val="000C3257"/>
    <w:rsid w:val="000C35C6"/>
    <w:rsid w:val="000C38CB"/>
    <w:rsid w:val="000C396F"/>
    <w:rsid w:val="000C3F5E"/>
    <w:rsid w:val="000C3FB0"/>
    <w:rsid w:val="000C40C7"/>
    <w:rsid w:val="000C4522"/>
    <w:rsid w:val="000C48A0"/>
    <w:rsid w:val="000C4A8A"/>
    <w:rsid w:val="000C4B96"/>
    <w:rsid w:val="000C4DEA"/>
    <w:rsid w:val="000C4E05"/>
    <w:rsid w:val="000C5085"/>
    <w:rsid w:val="000C5344"/>
    <w:rsid w:val="000C5A99"/>
    <w:rsid w:val="000C5BCC"/>
    <w:rsid w:val="000C5D3B"/>
    <w:rsid w:val="000C5DAD"/>
    <w:rsid w:val="000C5FFE"/>
    <w:rsid w:val="000C65CC"/>
    <w:rsid w:val="000C65DE"/>
    <w:rsid w:val="000C65F3"/>
    <w:rsid w:val="000C6864"/>
    <w:rsid w:val="000C68FA"/>
    <w:rsid w:val="000C690A"/>
    <w:rsid w:val="000C6F84"/>
    <w:rsid w:val="000C6FA0"/>
    <w:rsid w:val="000C701F"/>
    <w:rsid w:val="000C71A2"/>
    <w:rsid w:val="000C71C0"/>
    <w:rsid w:val="000C7317"/>
    <w:rsid w:val="000C7498"/>
    <w:rsid w:val="000C75C7"/>
    <w:rsid w:val="000C7885"/>
    <w:rsid w:val="000C78DE"/>
    <w:rsid w:val="000C798D"/>
    <w:rsid w:val="000C7BBD"/>
    <w:rsid w:val="000D00EE"/>
    <w:rsid w:val="000D0255"/>
    <w:rsid w:val="000D02A2"/>
    <w:rsid w:val="000D0590"/>
    <w:rsid w:val="000D0692"/>
    <w:rsid w:val="000D06B4"/>
    <w:rsid w:val="000D0938"/>
    <w:rsid w:val="000D0977"/>
    <w:rsid w:val="000D0BA9"/>
    <w:rsid w:val="000D0DAF"/>
    <w:rsid w:val="000D0E0E"/>
    <w:rsid w:val="000D0FD5"/>
    <w:rsid w:val="000D1607"/>
    <w:rsid w:val="000D17ED"/>
    <w:rsid w:val="000D1AE9"/>
    <w:rsid w:val="000D250A"/>
    <w:rsid w:val="000D279A"/>
    <w:rsid w:val="000D2A6B"/>
    <w:rsid w:val="000D3075"/>
    <w:rsid w:val="000D3083"/>
    <w:rsid w:val="000D32AD"/>
    <w:rsid w:val="000D3303"/>
    <w:rsid w:val="000D3454"/>
    <w:rsid w:val="000D3541"/>
    <w:rsid w:val="000D388E"/>
    <w:rsid w:val="000D38AD"/>
    <w:rsid w:val="000D3B0F"/>
    <w:rsid w:val="000D3DD5"/>
    <w:rsid w:val="000D3E8D"/>
    <w:rsid w:val="000D44CD"/>
    <w:rsid w:val="000D46D5"/>
    <w:rsid w:val="000D476A"/>
    <w:rsid w:val="000D4913"/>
    <w:rsid w:val="000D4945"/>
    <w:rsid w:val="000D4AF3"/>
    <w:rsid w:val="000D4B45"/>
    <w:rsid w:val="000D4EAF"/>
    <w:rsid w:val="000D4F21"/>
    <w:rsid w:val="000D4F8B"/>
    <w:rsid w:val="000D5216"/>
    <w:rsid w:val="000D548A"/>
    <w:rsid w:val="000D54FB"/>
    <w:rsid w:val="000D580C"/>
    <w:rsid w:val="000D6029"/>
    <w:rsid w:val="000D60C8"/>
    <w:rsid w:val="000D61A6"/>
    <w:rsid w:val="000D63FD"/>
    <w:rsid w:val="000D66B4"/>
    <w:rsid w:val="000D6915"/>
    <w:rsid w:val="000D6D44"/>
    <w:rsid w:val="000D7110"/>
    <w:rsid w:val="000D7308"/>
    <w:rsid w:val="000D746E"/>
    <w:rsid w:val="000D7521"/>
    <w:rsid w:val="000D7649"/>
    <w:rsid w:val="000D795F"/>
    <w:rsid w:val="000D7DF0"/>
    <w:rsid w:val="000E021A"/>
    <w:rsid w:val="000E0A77"/>
    <w:rsid w:val="000E1047"/>
    <w:rsid w:val="000E13BE"/>
    <w:rsid w:val="000E18F2"/>
    <w:rsid w:val="000E190B"/>
    <w:rsid w:val="000E1938"/>
    <w:rsid w:val="000E199F"/>
    <w:rsid w:val="000E1C77"/>
    <w:rsid w:val="000E1CDA"/>
    <w:rsid w:val="000E1CFB"/>
    <w:rsid w:val="000E2208"/>
    <w:rsid w:val="000E2508"/>
    <w:rsid w:val="000E265A"/>
    <w:rsid w:val="000E279A"/>
    <w:rsid w:val="000E2A3A"/>
    <w:rsid w:val="000E2D30"/>
    <w:rsid w:val="000E3175"/>
    <w:rsid w:val="000E33D0"/>
    <w:rsid w:val="000E3B82"/>
    <w:rsid w:val="000E3BB5"/>
    <w:rsid w:val="000E3BCF"/>
    <w:rsid w:val="000E3C70"/>
    <w:rsid w:val="000E3E84"/>
    <w:rsid w:val="000E4121"/>
    <w:rsid w:val="000E4167"/>
    <w:rsid w:val="000E484F"/>
    <w:rsid w:val="000E4AEE"/>
    <w:rsid w:val="000E4B6C"/>
    <w:rsid w:val="000E4CC9"/>
    <w:rsid w:val="000E5060"/>
    <w:rsid w:val="000E52F0"/>
    <w:rsid w:val="000E538A"/>
    <w:rsid w:val="000E57F9"/>
    <w:rsid w:val="000E59C2"/>
    <w:rsid w:val="000E5B7D"/>
    <w:rsid w:val="000E644E"/>
    <w:rsid w:val="000E6461"/>
    <w:rsid w:val="000E6A75"/>
    <w:rsid w:val="000E7511"/>
    <w:rsid w:val="000E77BA"/>
    <w:rsid w:val="000E7869"/>
    <w:rsid w:val="000E7A57"/>
    <w:rsid w:val="000E7B52"/>
    <w:rsid w:val="000F04FD"/>
    <w:rsid w:val="000F0CC4"/>
    <w:rsid w:val="000F0D30"/>
    <w:rsid w:val="000F0EA8"/>
    <w:rsid w:val="000F1022"/>
    <w:rsid w:val="000F1C3E"/>
    <w:rsid w:val="000F232A"/>
    <w:rsid w:val="000F24B9"/>
    <w:rsid w:val="000F25F8"/>
    <w:rsid w:val="000F2631"/>
    <w:rsid w:val="000F2A2B"/>
    <w:rsid w:val="000F2B4A"/>
    <w:rsid w:val="000F2BE7"/>
    <w:rsid w:val="000F2DD3"/>
    <w:rsid w:val="000F2FFD"/>
    <w:rsid w:val="000F3017"/>
    <w:rsid w:val="000F33CF"/>
    <w:rsid w:val="000F36AD"/>
    <w:rsid w:val="000F375E"/>
    <w:rsid w:val="000F3B1C"/>
    <w:rsid w:val="000F3E3D"/>
    <w:rsid w:val="000F3EE9"/>
    <w:rsid w:val="000F3F10"/>
    <w:rsid w:val="000F3FC1"/>
    <w:rsid w:val="000F41AF"/>
    <w:rsid w:val="000F455C"/>
    <w:rsid w:val="000F457E"/>
    <w:rsid w:val="000F485E"/>
    <w:rsid w:val="000F4C24"/>
    <w:rsid w:val="000F4D07"/>
    <w:rsid w:val="000F4DC5"/>
    <w:rsid w:val="000F5470"/>
    <w:rsid w:val="000F5471"/>
    <w:rsid w:val="000F55DF"/>
    <w:rsid w:val="000F5BC8"/>
    <w:rsid w:val="000F600C"/>
    <w:rsid w:val="000F60B1"/>
    <w:rsid w:val="000F650E"/>
    <w:rsid w:val="000F6AA2"/>
    <w:rsid w:val="000F6E8E"/>
    <w:rsid w:val="000F70A2"/>
    <w:rsid w:val="000F7468"/>
    <w:rsid w:val="000F77EF"/>
    <w:rsid w:val="000F78F0"/>
    <w:rsid w:val="000F7C42"/>
    <w:rsid w:val="000F7D05"/>
    <w:rsid w:val="000F7D5F"/>
    <w:rsid w:val="000F7F21"/>
    <w:rsid w:val="000F7FAB"/>
    <w:rsid w:val="001003BE"/>
    <w:rsid w:val="001005A4"/>
    <w:rsid w:val="00100744"/>
    <w:rsid w:val="00100764"/>
    <w:rsid w:val="001007A0"/>
    <w:rsid w:val="00100921"/>
    <w:rsid w:val="001009AA"/>
    <w:rsid w:val="00100F59"/>
    <w:rsid w:val="001010C3"/>
    <w:rsid w:val="00102057"/>
    <w:rsid w:val="00102229"/>
    <w:rsid w:val="001022D6"/>
    <w:rsid w:val="001023C4"/>
    <w:rsid w:val="001023C5"/>
    <w:rsid w:val="00102A7F"/>
    <w:rsid w:val="00102ED5"/>
    <w:rsid w:val="0010302C"/>
    <w:rsid w:val="0010323F"/>
    <w:rsid w:val="00103256"/>
    <w:rsid w:val="001032AE"/>
    <w:rsid w:val="00103327"/>
    <w:rsid w:val="00103454"/>
    <w:rsid w:val="0010345D"/>
    <w:rsid w:val="00103804"/>
    <w:rsid w:val="00103B97"/>
    <w:rsid w:val="00103CB5"/>
    <w:rsid w:val="0010400E"/>
    <w:rsid w:val="0010404E"/>
    <w:rsid w:val="001043BF"/>
    <w:rsid w:val="001044D8"/>
    <w:rsid w:val="00104778"/>
    <w:rsid w:val="00104A5B"/>
    <w:rsid w:val="00104A90"/>
    <w:rsid w:val="00104CFD"/>
    <w:rsid w:val="00104DA1"/>
    <w:rsid w:val="00105615"/>
    <w:rsid w:val="001059B9"/>
    <w:rsid w:val="001059C3"/>
    <w:rsid w:val="00105D65"/>
    <w:rsid w:val="00105E6B"/>
    <w:rsid w:val="00105F0F"/>
    <w:rsid w:val="001060B4"/>
    <w:rsid w:val="0010616C"/>
    <w:rsid w:val="001063B9"/>
    <w:rsid w:val="0010693C"/>
    <w:rsid w:val="00106BEE"/>
    <w:rsid w:val="00106DAD"/>
    <w:rsid w:val="00106F39"/>
    <w:rsid w:val="0010701D"/>
    <w:rsid w:val="001072BF"/>
    <w:rsid w:val="001074B7"/>
    <w:rsid w:val="00110262"/>
    <w:rsid w:val="001102EE"/>
    <w:rsid w:val="001106EC"/>
    <w:rsid w:val="00110D44"/>
    <w:rsid w:val="00110E39"/>
    <w:rsid w:val="001111C6"/>
    <w:rsid w:val="00111297"/>
    <w:rsid w:val="001113AA"/>
    <w:rsid w:val="00111595"/>
    <w:rsid w:val="00111890"/>
    <w:rsid w:val="00111B52"/>
    <w:rsid w:val="00112234"/>
    <w:rsid w:val="001125AA"/>
    <w:rsid w:val="001125B3"/>
    <w:rsid w:val="0011294C"/>
    <w:rsid w:val="00112995"/>
    <w:rsid w:val="00112B32"/>
    <w:rsid w:val="00112EA4"/>
    <w:rsid w:val="00112F55"/>
    <w:rsid w:val="00113022"/>
    <w:rsid w:val="001134A5"/>
    <w:rsid w:val="00113AB5"/>
    <w:rsid w:val="00113D26"/>
    <w:rsid w:val="00113D2F"/>
    <w:rsid w:val="00113EA8"/>
    <w:rsid w:val="0011409D"/>
    <w:rsid w:val="001140B0"/>
    <w:rsid w:val="00114DD9"/>
    <w:rsid w:val="00114DED"/>
    <w:rsid w:val="00114F94"/>
    <w:rsid w:val="0011566C"/>
    <w:rsid w:val="0011570A"/>
    <w:rsid w:val="0011575F"/>
    <w:rsid w:val="001157A4"/>
    <w:rsid w:val="001157F4"/>
    <w:rsid w:val="00115B1B"/>
    <w:rsid w:val="00115B59"/>
    <w:rsid w:val="00115E68"/>
    <w:rsid w:val="00116662"/>
    <w:rsid w:val="00116891"/>
    <w:rsid w:val="00116DB0"/>
    <w:rsid w:val="00116DD9"/>
    <w:rsid w:val="00117072"/>
    <w:rsid w:val="001177C7"/>
    <w:rsid w:val="001177F6"/>
    <w:rsid w:val="001201AA"/>
    <w:rsid w:val="001202FA"/>
    <w:rsid w:val="0012047A"/>
    <w:rsid w:val="001207F3"/>
    <w:rsid w:val="001208B6"/>
    <w:rsid w:val="001208CA"/>
    <w:rsid w:val="001213EE"/>
    <w:rsid w:val="00121414"/>
    <w:rsid w:val="00121B1C"/>
    <w:rsid w:val="00121B8F"/>
    <w:rsid w:val="00121D45"/>
    <w:rsid w:val="00121EAA"/>
    <w:rsid w:val="00121EBC"/>
    <w:rsid w:val="00121FA9"/>
    <w:rsid w:val="0012222C"/>
    <w:rsid w:val="001222BD"/>
    <w:rsid w:val="00122360"/>
    <w:rsid w:val="00122650"/>
    <w:rsid w:val="00122AD2"/>
    <w:rsid w:val="00122B9E"/>
    <w:rsid w:val="00122D83"/>
    <w:rsid w:val="00123216"/>
    <w:rsid w:val="00123ADA"/>
    <w:rsid w:val="001241F3"/>
    <w:rsid w:val="001243CE"/>
    <w:rsid w:val="0012455D"/>
    <w:rsid w:val="0012456C"/>
    <w:rsid w:val="00124695"/>
    <w:rsid w:val="00124D23"/>
    <w:rsid w:val="00124F94"/>
    <w:rsid w:val="00125120"/>
    <w:rsid w:val="00125382"/>
    <w:rsid w:val="0012542E"/>
    <w:rsid w:val="00125486"/>
    <w:rsid w:val="00125649"/>
    <w:rsid w:val="00125773"/>
    <w:rsid w:val="001259EB"/>
    <w:rsid w:val="00125E2F"/>
    <w:rsid w:val="0012601B"/>
    <w:rsid w:val="00126047"/>
    <w:rsid w:val="00126141"/>
    <w:rsid w:val="00126282"/>
    <w:rsid w:val="001268E8"/>
    <w:rsid w:val="001268EA"/>
    <w:rsid w:val="001269A5"/>
    <w:rsid w:val="00126A51"/>
    <w:rsid w:val="00126E0C"/>
    <w:rsid w:val="00126EC8"/>
    <w:rsid w:val="00127176"/>
    <w:rsid w:val="001273DB"/>
    <w:rsid w:val="001273FF"/>
    <w:rsid w:val="00127668"/>
    <w:rsid w:val="001279F0"/>
    <w:rsid w:val="0013032A"/>
    <w:rsid w:val="001304A1"/>
    <w:rsid w:val="0013139A"/>
    <w:rsid w:val="001319E3"/>
    <w:rsid w:val="001319FD"/>
    <w:rsid w:val="001320CA"/>
    <w:rsid w:val="001323C2"/>
    <w:rsid w:val="001323FD"/>
    <w:rsid w:val="00132574"/>
    <w:rsid w:val="001325FD"/>
    <w:rsid w:val="0013265C"/>
    <w:rsid w:val="00132661"/>
    <w:rsid w:val="001327DE"/>
    <w:rsid w:val="0013315F"/>
    <w:rsid w:val="00133510"/>
    <w:rsid w:val="0013363E"/>
    <w:rsid w:val="0013376A"/>
    <w:rsid w:val="00133950"/>
    <w:rsid w:val="00133AC4"/>
    <w:rsid w:val="00133D1E"/>
    <w:rsid w:val="0013424B"/>
    <w:rsid w:val="001342D4"/>
    <w:rsid w:val="00134925"/>
    <w:rsid w:val="001349F3"/>
    <w:rsid w:val="00134AAC"/>
    <w:rsid w:val="00134AFA"/>
    <w:rsid w:val="00134BF5"/>
    <w:rsid w:val="001350B9"/>
    <w:rsid w:val="001351CB"/>
    <w:rsid w:val="0013534C"/>
    <w:rsid w:val="001353CF"/>
    <w:rsid w:val="0013551E"/>
    <w:rsid w:val="001355E3"/>
    <w:rsid w:val="001356CE"/>
    <w:rsid w:val="0013581E"/>
    <w:rsid w:val="00135A58"/>
    <w:rsid w:val="00135AF6"/>
    <w:rsid w:val="00135B32"/>
    <w:rsid w:val="00135D10"/>
    <w:rsid w:val="00135EDF"/>
    <w:rsid w:val="00136157"/>
    <w:rsid w:val="0013662E"/>
    <w:rsid w:val="00136662"/>
    <w:rsid w:val="00136964"/>
    <w:rsid w:val="00136B1C"/>
    <w:rsid w:val="00136B93"/>
    <w:rsid w:val="00136C72"/>
    <w:rsid w:val="00136EFF"/>
    <w:rsid w:val="00137073"/>
    <w:rsid w:val="001370E5"/>
    <w:rsid w:val="00137562"/>
    <w:rsid w:val="00137835"/>
    <w:rsid w:val="00137EFF"/>
    <w:rsid w:val="00137F5C"/>
    <w:rsid w:val="001405A0"/>
    <w:rsid w:val="00140AF6"/>
    <w:rsid w:val="00140B19"/>
    <w:rsid w:val="00140B9D"/>
    <w:rsid w:val="00140D51"/>
    <w:rsid w:val="00140FF7"/>
    <w:rsid w:val="00141281"/>
    <w:rsid w:val="0014139A"/>
    <w:rsid w:val="00141479"/>
    <w:rsid w:val="001418A5"/>
    <w:rsid w:val="00141B0A"/>
    <w:rsid w:val="00141C44"/>
    <w:rsid w:val="00142139"/>
    <w:rsid w:val="00142687"/>
    <w:rsid w:val="00142810"/>
    <w:rsid w:val="00142E02"/>
    <w:rsid w:val="001433AA"/>
    <w:rsid w:val="001436C9"/>
    <w:rsid w:val="00143CE3"/>
    <w:rsid w:val="00143CF7"/>
    <w:rsid w:val="00143D6A"/>
    <w:rsid w:val="001440D2"/>
    <w:rsid w:val="00144624"/>
    <w:rsid w:val="00144B25"/>
    <w:rsid w:val="00144E53"/>
    <w:rsid w:val="00144F3E"/>
    <w:rsid w:val="001452BF"/>
    <w:rsid w:val="00145312"/>
    <w:rsid w:val="001453D0"/>
    <w:rsid w:val="00145AFC"/>
    <w:rsid w:val="00145BDC"/>
    <w:rsid w:val="001461A1"/>
    <w:rsid w:val="001462A5"/>
    <w:rsid w:val="0014646E"/>
    <w:rsid w:val="00146615"/>
    <w:rsid w:val="0014679A"/>
    <w:rsid w:val="00146805"/>
    <w:rsid w:val="001469C5"/>
    <w:rsid w:val="00146A38"/>
    <w:rsid w:val="00146B9E"/>
    <w:rsid w:val="00146C8F"/>
    <w:rsid w:val="00147420"/>
    <w:rsid w:val="00147779"/>
    <w:rsid w:val="0014792A"/>
    <w:rsid w:val="001479FE"/>
    <w:rsid w:val="00147BDE"/>
    <w:rsid w:val="001502A7"/>
    <w:rsid w:val="00150375"/>
    <w:rsid w:val="0015046A"/>
    <w:rsid w:val="00150503"/>
    <w:rsid w:val="00150550"/>
    <w:rsid w:val="001505C9"/>
    <w:rsid w:val="00150647"/>
    <w:rsid w:val="00150872"/>
    <w:rsid w:val="001509E6"/>
    <w:rsid w:val="00150BE6"/>
    <w:rsid w:val="00150C7E"/>
    <w:rsid w:val="00150E18"/>
    <w:rsid w:val="00150F44"/>
    <w:rsid w:val="001511EF"/>
    <w:rsid w:val="0015133B"/>
    <w:rsid w:val="001516AF"/>
    <w:rsid w:val="00151CC8"/>
    <w:rsid w:val="00152226"/>
    <w:rsid w:val="0015279F"/>
    <w:rsid w:val="001527B9"/>
    <w:rsid w:val="0015312C"/>
    <w:rsid w:val="0015317A"/>
    <w:rsid w:val="0015391E"/>
    <w:rsid w:val="00153BCE"/>
    <w:rsid w:val="00153E26"/>
    <w:rsid w:val="00153F78"/>
    <w:rsid w:val="00153FEF"/>
    <w:rsid w:val="0015400E"/>
    <w:rsid w:val="00154206"/>
    <w:rsid w:val="00154349"/>
    <w:rsid w:val="00154395"/>
    <w:rsid w:val="001554FC"/>
    <w:rsid w:val="00155847"/>
    <w:rsid w:val="0015596E"/>
    <w:rsid w:val="00155BC2"/>
    <w:rsid w:val="00155D05"/>
    <w:rsid w:val="00155E17"/>
    <w:rsid w:val="0015631A"/>
    <w:rsid w:val="001563B3"/>
    <w:rsid w:val="00156972"/>
    <w:rsid w:val="00156A2A"/>
    <w:rsid w:val="00156BE5"/>
    <w:rsid w:val="00156C63"/>
    <w:rsid w:val="00156E06"/>
    <w:rsid w:val="00156EF9"/>
    <w:rsid w:val="00156F0E"/>
    <w:rsid w:val="0015713D"/>
    <w:rsid w:val="001572B7"/>
    <w:rsid w:val="00157507"/>
    <w:rsid w:val="0015767C"/>
    <w:rsid w:val="00157885"/>
    <w:rsid w:val="00157AD2"/>
    <w:rsid w:val="00157CE1"/>
    <w:rsid w:val="00160068"/>
    <w:rsid w:val="0016069F"/>
    <w:rsid w:val="00160A47"/>
    <w:rsid w:val="00160BC9"/>
    <w:rsid w:val="00161305"/>
    <w:rsid w:val="00161386"/>
    <w:rsid w:val="00162044"/>
    <w:rsid w:val="001620FF"/>
    <w:rsid w:val="00162129"/>
    <w:rsid w:val="00162285"/>
    <w:rsid w:val="0016228A"/>
    <w:rsid w:val="00162723"/>
    <w:rsid w:val="001627CB"/>
    <w:rsid w:val="00163A46"/>
    <w:rsid w:val="00163ABF"/>
    <w:rsid w:val="00163BA9"/>
    <w:rsid w:val="001641B7"/>
    <w:rsid w:val="001642B4"/>
    <w:rsid w:val="00164A98"/>
    <w:rsid w:val="00164AAB"/>
    <w:rsid w:val="00165284"/>
    <w:rsid w:val="00165429"/>
    <w:rsid w:val="001658D1"/>
    <w:rsid w:val="00165DC5"/>
    <w:rsid w:val="00166122"/>
    <w:rsid w:val="001662F3"/>
    <w:rsid w:val="001666C0"/>
    <w:rsid w:val="00166761"/>
    <w:rsid w:val="00166973"/>
    <w:rsid w:val="00166B86"/>
    <w:rsid w:val="00166C08"/>
    <w:rsid w:val="00166CD4"/>
    <w:rsid w:val="0016703F"/>
    <w:rsid w:val="00167344"/>
    <w:rsid w:val="00167396"/>
    <w:rsid w:val="00167471"/>
    <w:rsid w:val="00167BBD"/>
    <w:rsid w:val="001701D5"/>
    <w:rsid w:val="001709F6"/>
    <w:rsid w:val="00170A7C"/>
    <w:rsid w:val="00170D66"/>
    <w:rsid w:val="00171291"/>
    <w:rsid w:val="00171308"/>
    <w:rsid w:val="001714D4"/>
    <w:rsid w:val="00171752"/>
    <w:rsid w:val="00171D20"/>
    <w:rsid w:val="00171D23"/>
    <w:rsid w:val="001726A2"/>
    <w:rsid w:val="00172771"/>
    <w:rsid w:val="001728A1"/>
    <w:rsid w:val="00172A54"/>
    <w:rsid w:val="00172C86"/>
    <w:rsid w:val="00173304"/>
    <w:rsid w:val="00173356"/>
    <w:rsid w:val="00173A54"/>
    <w:rsid w:val="00173B0B"/>
    <w:rsid w:val="00173D52"/>
    <w:rsid w:val="001740BA"/>
    <w:rsid w:val="001740DD"/>
    <w:rsid w:val="00174311"/>
    <w:rsid w:val="001744FB"/>
    <w:rsid w:val="00174557"/>
    <w:rsid w:val="00174D8E"/>
    <w:rsid w:val="00175397"/>
    <w:rsid w:val="00175734"/>
    <w:rsid w:val="00175988"/>
    <w:rsid w:val="00175AC2"/>
    <w:rsid w:val="0017635A"/>
    <w:rsid w:val="00176433"/>
    <w:rsid w:val="00176517"/>
    <w:rsid w:val="001767A5"/>
    <w:rsid w:val="00176D3B"/>
    <w:rsid w:val="00176E4B"/>
    <w:rsid w:val="00176F07"/>
    <w:rsid w:val="00177180"/>
    <w:rsid w:val="001775BA"/>
    <w:rsid w:val="001776EE"/>
    <w:rsid w:val="0017785F"/>
    <w:rsid w:val="00177A5A"/>
    <w:rsid w:val="00177FDB"/>
    <w:rsid w:val="001802C9"/>
    <w:rsid w:val="0018038A"/>
    <w:rsid w:val="00180BA2"/>
    <w:rsid w:val="00180CD3"/>
    <w:rsid w:val="00180D9A"/>
    <w:rsid w:val="0018139F"/>
    <w:rsid w:val="0018145E"/>
    <w:rsid w:val="00181571"/>
    <w:rsid w:val="00181A14"/>
    <w:rsid w:val="00181B40"/>
    <w:rsid w:val="00181C2A"/>
    <w:rsid w:val="00181D4D"/>
    <w:rsid w:val="0018207B"/>
    <w:rsid w:val="0018225C"/>
    <w:rsid w:val="001823B6"/>
    <w:rsid w:val="001825C3"/>
    <w:rsid w:val="00182674"/>
    <w:rsid w:val="00182E34"/>
    <w:rsid w:val="00182F7A"/>
    <w:rsid w:val="0018368F"/>
    <w:rsid w:val="0018409C"/>
    <w:rsid w:val="00184678"/>
    <w:rsid w:val="0018471A"/>
    <w:rsid w:val="00184846"/>
    <w:rsid w:val="00184880"/>
    <w:rsid w:val="00184912"/>
    <w:rsid w:val="00184F5F"/>
    <w:rsid w:val="00184F61"/>
    <w:rsid w:val="0018568B"/>
    <w:rsid w:val="00185A7A"/>
    <w:rsid w:val="00185B10"/>
    <w:rsid w:val="001862A2"/>
    <w:rsid w:val="00186816"/>
    <w:rsid w:val="00186C71"/>
    <w:rsid w:val="00186C72"/>
    <w:rsid w:val="00186D37"/>
    <w:rsid w:val="00186E32"/>
    <w:rsid w:val="001874B7"/>
    <w:rsid w:val="001875CA"/>
    <w:rsid w:val="001877C3"/>
    <w:rsid w:val="00187CE5"/>
    <w:rsid w:val="0019077B"/>
    <w:rsid w:val="00190787"/>
    <w:rsid w:val="00190D90"/>
    <w:rsid w:val="00190E44"/>
    <w:rsid w:val="00190FF2"/>
    <w:rsid w:val="001910E6"/>
    <w:rsid w:val="001912BA"/>
    <w:rsid w:val="001912C6"/>
    <w:rsid w:val="001913FD"/>
    <w:rsid w:val="00191677"/>
    <w:rsid w:val="00192051"/>
    <w:rsid w:val="0019233C"/>
    <w:rsid w:val="00192363"/>
    <w:rsid w:val="001926F4"/>
    <w:rsid w:val="00192806"/>
    <w:rsid w:val="00192A71"/>
    <w:rsid w:val="001932EA"/>
    <w:rsid w:val="001933AD"/>
    <w:rsid w:val="001935C1"/>
    <w:rsid w:val="00193673"/>
    <w:rsid w:val="001936C5"/>
    <w:rsid w:val="0019375A"/>
    <w:rsid w:val="00193951"/>
    <w:rsid w:val="00193A0B"/>
    <w:rsid w:val="00193D64"/>
    <w:rsid w:val="00193DB0"/>
    <w:rsid w:val="00194056"/>
    <w:rsid w:val="00194377"/>
    <w:rsid w:val="001943B9"/>
    <w:rsid w:val="001945BF"/>
    <w:rsid w:val="0019464E"/>
    <w:rsid w:val="00194771"/>
    <w:rsid w:val="001948CE"/>
    <w:rsid w:val="00194D14"/>
    <w:rsid w:val="001952A4"/>
    <w:rsid w:val="00195639"/>
    <w:rsid w:val="0019598F"/>
    <w:rsid w:val="00195AE6"/>
    <w:rsid w:val="00195B0B"/>
    <w:rsid w:val="00195F2A"/>
    <w:rsid w:val="001966EA"/>
    <w:rsid w:val="001968C0"/>
    <w:rsid w:val="0019727B"/>
    <w:rsid w:val="0019737C"/>
    <w:rsid w:val="001973E2"/>
    <w:rsid w:val="00197534"/>
    <w:rsid w:val="00197EA3"/>
    <w:rsid w:val="001A04FC"/>
    <w:rsid w:val="001A069F"/>
    <w:rsid w:val="001A0876"/>
    <w:rsid w:val="001A0D32"/>
    <w:rsid w:val="001A0EB4"/>
    <w:rsid w:val="001A1060"/>
    <w:rsid w:val="001A1399"/>
    <w:rsid w:val="001A1561"/>
    <w:rsid w:val="001A1610"/>
    <w:rsid w:val="001A164C"/>
    <w:rsid w:val="001A181C"/>
    <w:rsid w:val="001A193D"/>
    <w:rsid w:val="001A1C92"/>
    <w:rsid w:val="001A20B1"/>
    <w:rsid w:val="001A266C"/>
    <w:rsid w:val="001A2706"/>
    <w:rsid w:val="001A27BF"/>
    <w:rsid w:val="001A2A5C"/>
    <w:rsid w:val="001A2CE9"/>
    <w:rsid w:val="001A309C"/>
    <w:rsid w:val="001A35B2"/>
    <w:rsid w:val="001A3854"/>
    <w:rsid w:val="001A386C"/>
    <w:rsid w:val="001A3B12"/>
    <w:rsid w:val="001A3D9B"/>
    <w:rsid w:val="001A3DEF"/>
    <w:rsid w:val="001A3EFF"/>
    <w:rsid w:val="001A4541"/>
    <w:rsid w:val="001A45DE"/>
    <w:rsid w:val="001A4817"/>
    <w:rsid w:val="001A4B63"/>
    <w:rsid w:val="001A4CA0"/>
    <w:rsid w:val="001A4CA9"/>
    <w:rsid w:val="001A4DF3"/>
    <w:rsid w:val="001A5268"/>
    <w:rsid w:val="001A5319"/>
    <w:rsid w:val="001A546D"/>
    <w:rsid w:val="001A5860"/>
    <w:rsid w:val="001A58C6"/>
    <w:rsid w:val="001A5BBA"/>
    <w:rsid w:val="001A5C25"/>
    <w:rsid w:val="001A5CF2"/>
    <w:rsid w:val="001A5DFF"/>
    <w:rsid w:val="001A5ECD"/>
    <w:rsid w:val="001A5FA6"/>
    <w:rsid w:val="001A649C"/>
    <w:rsid w:val="001A6A41"/>
    <w:rsid w:val="001A6F3C"/>
    <w:rsid w:val="001A7373"/>
    <w:rsid w:val="001A7691"/>
    <w:rsid w:val="001A7958"/>
    <w:rsid w:val="001A7CD9"/>
    <w:rsid w:val="001A7FDF"/>
    <w:rsid w:val="001B01EC"/>
    <w:rsid w:val="001B03E9"/>
    <w:rsid w:val="001B0405"/>
    <w:rsid w:val="001B12CF"/>
    <w:rsid w:val="001B1790"/>
    <w:rsid w:val="001B1885"/>
    <w:rsid w:val="001B190B"/>
    <w:rsid w:val="001B1953"/>
    <w:rsid w:val="001B1F57"/>
    <w:rsid w:val="001B1FAF"/>
    <w:rsid w:val="001B201D"/>
    <w:rsid w:val="001B2039"/>
    <w:rsid w:val="001B20D8"/>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F6"/>
    <w:rsid w:val="001B4DEE"/>
    <w:rsid w:val="001B4ED3"/>
    <w:rsid w:val="001B51C8"/>
    <w:rsid w:val="001B54AC"/>
    <w:rsid w:val="001B5E69"/>
    <w:rsid w:val="001B5F2F"/>
    <w:rsid w:val="001B5FB6"/>
    <w:rsid w:val="001B6B57"/>
    <w:rsid w:val="001B6C95"/>
    <w:rsid w:val="001B7021"/>
    <w:rsid w:val="001B70A3"/>
    <w:rsid w:val="001B73BF"/>
    <w:rsid w:val="001B74A5"/>
    <w:rsid w:val="001B74E2"/>
    <w:rsid w:val="001B7746"/>
    <w:rsid w:val="001B78EF"/>
    <w:rsid w:val="001B7A5B"/>
    <w:rsid w:val="001B7BB4"/>
    <w:rsid w:val="001B7BCA"/>
    <w:rsid w:val="001B7C6B"/>
    <w:rsid w:val="001B7C7B"/>
    <w:rsid w:val="001B7D04"/>
    <w:rsid w:val="001C05C6"/>
    <w:rsid w:val="001C0678"/>
    <w:rsid w:val="001C06E6"/>
    <w:rsid w:val="001C0DC2"/>
    <w:rsid w:val="001C0E65"/>
    <w:rsid w:val="001C101A"/>
    <w:rsid w:val="001C13CF"/>
    <w:rsid w:val="001C140C"/>
    <w:rsid w:val="001C1606"/>
    <w:rsid w:val="001C177D"/>
    <w:rsid w:val="001C1BDF"/>
    <w:rsid w:val="001C1E16"/>
    <w:rsid w:val="001C2090"/>
    <w:rsid w:val="001C2216"/>
    <w:rsid w:val="001C27EB"/>
    <w:rsid w:val="001C2BF8"/>
    <w:rsid w:val="001C30C1"/>
    <w:rsid w:val="001C3889"/>
    <w:rsid w:val="001C38DE"/>
    <w:rsid w:val="001C3FFA"/>
    <w:rsid w:val="001C4475"/>
    <w:rsid w:val="001C4BD5"/>
    <w:rsid w:val="001C4C41"/>
    <w:rsid w:val="001C4C60"/>
    <w:rsid w:val="001C4E4E"/>
    <w:rsid w:val="001C5181"/>
    <w:rsid w:val="001C5329"/>
    <w:rsid w:val="001C5339"/>
    <w:rsid w:val="001C560D"/>
    <w:rsid w:val="001C58A7"/>
    <w:rsid w:val="001C596A"/>
    <w:rsid w:val="001C5A35"/>
    <w:rsid w:val="001C5D63"/>
    <w:rsid w:val="001C659F"/>
    <w:rsid w:val="001C67C3"/>
    <w:rsid w:val="001C6807"/>
    <w:rsid w:val="001C6A98"/>
    <w:rsid w:val="001C6C1C"/>
    <w:rsid w:val="001C72E8"/>
    <w:rsid w:val="001C7503"/>
    <w:rsid w:val="001C7655"/>
    <w:rsid w:val="001C76F0"/>
    <w:rsid w:val="001C7A36"/>
    <w:rsid w:val="001C7FB7"/>
    <w:rsid w:val="001D0188"/>
    <w:rsid w:val="001D01A1"/>
    <w:rsid w:val="001D032A"/>
    <w:rsid w:val="001D050D"/>
    <w:rsid w:val="001D0B6A"/>
    <w:rsid w:val="001D0B7C"/>
    <w:rsid w:val="001D0D2B"/>
    <w:rsid w:val="001D0E38"/>
    <w:rsid w:val="001D0E76"/>
    <w:rsid w:val="001D0EB1"/>
    <w:rsid w:val="001D11AE"/>
    <w:rsid w:val="001D13CD"/>
    <w:rsid w:val="001D165E"/>
    <w:rsid w:val="001D1A96"/>
    <w:rsid w:val="001D1CED"/>
    <w:rsid w:val="001D219F"/>
    <w:rsid w:val="001D27A0"/>
    <w:rsid w:val="001D2FE8"/>
    <w:rsid w:val="001D309D"/>
    <w:rsid w:val="001D31D0"/>
    <w:rsid w:val="001D4410"/>
    <w:rsid w:val="001D4711"/>
    <w:rsid w:val="001D5012"/>
    <w:rsid w:val="001D53AB"/>
    <w:rsid w:val="001D55A2"/>
    <w:rsid w:val="001D5F16"/>
    <w:rsid w:val="001D5FF1"/>
    <w:rsid w:val="001D60B3"/>
    <w:rsid w:val="001D6142"/>
    <w:rsid w:val="001D6200"/>
    <w:rsid w:val="001D62AA"/>
    <w:rsid w:val="001D659E"/>
    <w:rsid w:val="001D66ED"/>
    <w:rsid w:val="001D6836"/>
    <w:rsid w:val="001D6871"/>
    <w:rsid w:val="001D69F2"/>
    <w:rsid w:val="001D6A26"/>
    <w:rsid w:val="001D7C61"/>
    <w:rsid w:val="001D7CA8"/>
    <w:rsid w:val="001D7D7B"/>
    <w:rsid w:val="001D7DEB"/>
    <w:rsid w:val="001D7E5B"/>
    <w:rsid w:val="001D7F43"/>
    <w:rsid w:val="001D7FC4"/>
    <w:rsid w:val="001E00BA"/>
    <w:rsid w:val="001E01C0"/>
    <w:rsid w:val="001E01EF"/>
    <w:rsid w:val="001E0854"/>
    <w:rsid w:val="001E0B42"/>
    <w:rsid w:val="001E1020"/>
    <w:rsid w:val="001E10C4"/>
    <w:rsid w:val="001E125D"/>
    <w:rsid w:val="001E12A3"/>
    <w:rsid w:val="001E14C1"/>
    <w:rsid w:val="001E14D3"/>
    <w:rsid w:val="001E1873"/>
    <w:rsid w:val="001E1EB7"/>
    <w:rsid w:val="001E1EE3"/>
    <w:rsid w:val="001E204D"/>
    <w:rsid w:val="001E2109"/>
    <w:rsid w:val="001E2578"/>
    <w:rsid w:val="001E2950"/>
    <w:rsid w:val="001E2AA1"/>
    <w:rsid w:val="001E2B88"/>
    <w:rsid w:val="001E2C7A"/>
    <w:rsid w:val="001E2CD8"/>
    <w:rsid w:val="001E3218"/>
    <w:rsid w:val="001E3389"/>
    <w:rsid w:val="001E3B7B"/>
    <w:rsid w:val="001E3D73"/>
    <w:rsid w:val="001E3DB9"/>
    <w:rsid w:val="001E3DE5"/>
    <w:rsid w:val="001E3FAC"/>
    <w:rsid w:val="001E490D"/>
    <w:rsid w:val="001E4C92"/>
    <w:rsid w:val="001E518A"/>
    <w:rsid w:val="001E55F7"/>
    <w:rsid w:val="001E5715"/>
    <w:rsid w:val="001E57A3"/>
    <w:rsid w:val="001E6015"/>
    <w:rsid w:val="001E620D"/>
    <w:rsid w:val="001E62CA"/>
    <w:rsid w:val="001E63F0"/>
    <w:rsid w:val="001E6671"/>
    <w:rsid w:val="001E66B3"/>
    <w:rsid w:val="001E6987"/>
    <w:rsid w:val="001E6A74"/>
    <w:rsid w:val="001E6CDC"/>
    <w:rsid w:val="001E7200"/>
    <w:rsid w:val="001E7283"/>
    <w:rsid w:val="001E7445"/>
    <w:rsid w:val="001E7ABF"/>
    <w:rsid w:val="001E7B9F"/>
    <w:rsid w:val="001E7C94"/>
    <w:rsid w:val="001E7D62"/>
    <w:rsid w:val="001E7F38"/>
    <w:rsid w:val="001E7FD8"/>
    <w:rsid w:val="001F0522"/>
    <w:rsid w:val="001F0610"/>
    <w:rsid w:val="001F0750"/>
    <w:rsid w:val="001F0785"/>
    <w:rsid w:val="001F0876"/>
    <w:rsid w:val="001F0A96"/>
    <w:rsid w:val="001F131A"/>
    <w:rsid w:val="001F13FE"/>
    <w:rsid w:val="001F18D9"/>
    <w:rsid w:val="001F1BD3"/>
    <w:rsid w:val="001F1F85"/>
    <w:rsid w:val="001F204E"/>
    <w:rsid w:val="001F210B"/>
    <w:rsid w:val="001F211C"/>
    <w:rsid w:val="001F222A"/>
    <w:rsid w:val="001F22F8"/>
    <w:rsid w:val="001F2574"/>
    <w:rsid w:val="001F25EC"/>
    <w:rsid w:val="001F2751"/>
    <w:rsid w:val="001F27CA"/>
    <w:rsid w:val="001F2BBB"/>
    <w:rsid w:val="001F2DD1"/>
    <w:rsid w:val="001F3730"/>
    <w:rsid w:val="001F3F5B"/>
    <w:rsid w:val="001F3FF3"/>
    <w:rsid w:val="001F4644"/>
    <w:rsid w:val="001F4803"/>
    <w:rsid w:val="001F4E2C"/>
    <w:rsid w:val="001F4FDF"/>
    <w:rsid w:val="001F51CC"/>
    <w:rsid w:val="001F52BC"/>
    <w:rsid w:val="001F52D2"/>
    <w:rsid w:val="001F537C"/>
    <w:rsid w:val="001F554B"/>
    <w:rsid w:val="001F5856"/>
    <w:rsid w:val="001F5B65"/>
    <w:rsid w:val="001F5BD7"/>
    <w:rsid w:val="001F5FFF"/>
    <w:rsid w:val="001F60E7"/>
    <w:rsid w:val="001F659B"/>
    <w:rsid w:val="001F663A"/>
    <w:rsid w:val="001F66AF"/>
    <w:rsid w:val="001F6728"/>
    <w:rsid w:val="001F6770"/>
    <w:rsid w:val="001F6798"/>
    <w:rsid w:val="001F684F"/>
    <w:rsid w:val="001F6D8B"/>
    <w:rsid w:val="001F74E4"/>
    <w:rsid w:val="001F75A2"/>
    <w:rsid w:val="001F7BBF"/>
    <w:rsid w:val="001F7F5A"/>
    <w:rsid w:val="0020015E"/>
    <w:rsid w:val="0020062B"/>
    <w:rsid w:val="00200804"/>
    <w:rsid w:val="00200D92"/>
    <w:rsid w:val="002011CB"/>
    <w:rsid w:val="00201A94"/>
    <w:rsid w:val="00201B59"/>
    <w:rsid w:val="00201BCF"/>
    <w:rsid w:val="00201D53"/>
    <w:rsid w:val="00201DD6"/>
    <w:rsid w:val="00201FC7"/>
    <w:rsid w:val="00202071"/>
    <w:rsid w:val="0020210F"/>
    <w:rsid w:val="002022AC"/>
    <w:rsid w:val="0020245F"/>
    <w:rsid w:val="0020255B"/>
    <w:rsid w:val="00202803"/>
    <w:rsid w:val="0020286A"/>
    <w:rsid w:val="0020296A"/>
    <w:rsid w:val="00202B3F"/>
    <w:rsid w:val="00203243"/>
    <w:rsid w:val="00203813"/>
    <w:rsid w:val="002039C0"/>
    <w:rsid w:val="0020400D"/>
    <w:rsid w:val="0020406E"/>
    <w:rsid w:val="002046E6"/>
    <w:rsid w:val="002047E3"/>
    <w:rsid w:val="00204C28"/>
    <w:rsid w:val="00204D0D"/>
    <w:rsid w:val="00204E46"/>
    <w:rsid w:val="002051E0"/>
    <w:rsid w:val="0020564A"/>
    <w:rsid w:val="002057AF"/>
    <w:rsid w:val="00205997"/>
    <w:rsid w:val="00205C45"/>
    <w:rsid w:val="0020621D"/>
    <w:rsid w:val="0020630B"/>
    <w:rsid w:val="00206311"/>
    <w:rsid w:val="0020645E"/>
    <w:rsid w:val="002064BE"/>
    <w:rsid w:val="00206548"/>
    <w:rsid w:val="002065BD"/>
    <w:rsid w:val="00206DB2"/>
    <w:rsid w:val="00206E24"/>
    <w:rsid w:val="00206F8D"/>
    <w:rsid w:val="00206FEA"/>
    <w:rsid w:val="002072A7"/>
    <w:rsid w:val="00207860"/>
    <w:rsid w:val="00207B6A"/>
    <w:rsid w:val="00207BD8"/>
    <w:rsid w:val="00207D81"/>
    <w:rsid w:val="00207DA7"/>
    <w:rsid w:val="00207EC3"/>
    <w:rsid w:val="0021008D"/>
    <w:rsid w:val="00210504"/>
    <w:rsid w:val="00210FD7"/>
    <w:rsid w:val="00211056"/>
    <w:rsid w:val="00211113"/>
    <w:rsid w:val="002111F5"/>
    <w:rsid w:val="0021132D"/>
    <w:rsid w:val="0021186D"/>
    <w:rsid w:val="00211AC3"/>
    <w:rsid w:val="00211B26"/>
    <w:rsid w:val="00211BC2"/>
    <w:rsid w:val="00211D30"/>
    <w:rsid w:val="00212283"/>
    <w:rsid w:val="002126FB"/>
    <w:rsid w:val="00212732"/>
    <w:rsid w:val="00212733"/>
    <w:rsid w:val="00212781"/>
    <w:rsid w:val="002128A4"/>
    <w:rsid w:val="00212A81"/>
    <w:rsid w:val="0021301E"/>
    <w:rsid w:val="002130CD"/>
    <w:rsid w:val="00213136"/>
    <w:rsid w:val="002132B9"/>
    <w:rsid w:val="002136B8"/>
    <w:rsid w:val="0021385B"/>
    <w:rsid w:val="00213892"/>
    <w:rsid w:val="00213F12"/>
    <w:rsid w:val="00214159"/>
    <w:rsid w:val="00214215"/>
    <w:rsid w:val="0021429E"/>
    <w:rsid w:val="002143C4"/>
    <w:rsid w:val="002144DC"/>
    <w:rsid w:val="00214567"/>
    <w:rsid w:val="00214A20"/>
    <w:rsid w:val="00214A4F"/>
    <w:rsid w:val="00214CA0"/>
    <w:rsid w:val="00214FBC"/>
    <w:rsid w:val="0021505F"/>
    <w:rsid w:val="0021522C"/>
    <w:rsid w:val="002152E7"/>
    <w:rsid w:val="002156CC"/>
    <w:rsid w:val="002158CE"/>
    <w:rsid w:val="00215990"/>
    <w:rsid w:val="00215B55"/>
    <w:rsid w:val="00215D3F"/>
    <w:rsid w:val="00216273"/>
    <w:rsid w:val="002162F1"/>
    <w:rsid w:val="0021638B"/>
    <w:rsid w:val="0021689F"/>
    <w:rsid w:val="00216A86"/>
    <w:rsid w:val="00216F75"/>
    <w:rsid w:val="00217002"/>
    <w:rsid w:val="00217040"/>
    <w:rsid w:val="00217431"/>
    <w:rsid w:val="00217467"/>
    <w:rsid w:val="00217539"/>
    <w:rsid w:val="00217701"/>
    <w:rsid w:val="00217CAD"/>
    <w:rsid w:val="00217CBE"/>
    <w:rsid w:val="00217FF7"/>
    <w:rsid w:val="0022005C"/>
    <w:rsid w:val="00220427"/>
    <w:rsid w:val="002208C9"/>
    <w:rsid w:val="00220E51"/>
    <w:rsid w:val="00221063"/>
    <w:rsid w:val="0022159C"/>
    <w:rsid w:val="0022164F"/>
    <w:rsid w:val="00221B3A"/>
    <w:rsid w:val="00221CD2"/>
    <w:rsid w:val="00221ED4"/>
    <w:rsid w:val="0022202D"/>
    <w:rsid w:val="00222101"/>
    <w:rsid w:val="002221DA"/>
    <w:rsid w:val="0022227E"/>
    <w:rsid w:val="0022238E"/>
    <w:rsid w:val="002225A2"/>
    <w:rsid w:val="0022262A"/>
    <w:rsid w:val="002226B3"/>
    <w:rsid w:val="0022279D"/>
    <w:rsid w:val="00222B96"/>
    <w:rsid w:val="00223184"/>
    <w:rsid w:val="00223751"/>
    <w:rsid w:val="00223833"/>
    <w:rsid w:val="00223850"/>
    <w:rsid w:val="00223B8B"/>
    <w:rsid w:val="00223C3F"/>
    <w:rsid w:val="00223EA2"/>
    <w:rsid w:val="0022407F"/>
    <w:rsid w:val="002242A3"/>
    <w:rsid w:val="002247B4"/>
    <w:rsid w:val="00224BCC"/>
    <w:rsid w:val="00224E2B"/>
    <w:rsid w:val="002255E0"/>
    <w:rsid w:val="00225CC8"/>
    <w:rsid w:val="00225D8C"/>
    <w:rsid w:val="0022617C"/>
    <w:rsid w:val="00226411"/>
    <w:rsid w:val="00226706"/>
    <w:rsid w:val="00226B3F"/>
    <w:rsid w:val="00226FF1"/>
    <w:rsid w:val="0022705A"/>
    <w:rsid w:val="0022715F"/>
    <w:rsid w:val="002273C5"/>
    <w:rsid w:val="002274D4"/>
    <w:rsid w:val="00227597"/>
    <w:rsid w:val="00227E8F"/>
    <w:rsid w:val="00230148"/>
    <w:rsid w:val="0023038A"/>
    <w:rsid w:val="002305E7"/>
    <w:rsid w:val="002308F7"/>
    <w:rsid w:val="00230977"/>
    <w:rsid w:val="0023099D"/>
    <w:rsid w:val="00231191"/>
    <w:rsid w:val="002317A1"/>
    <w:rsid w:val="00231956"/>
    <w:rsid w:val="00231DD1"/>
    <w:rsid w:val="00231F8C"/>
    <w:rsid w:val="0023203C"/>
    <w:rsid w:val="0023281D"/>
    <w:rsid w:val="0023282E"/>
    <w:rsid w:val="0023292F"/>
    <w:rsid w:val="00232B6D"/>
    <w:rsid w:val="00232DD9"/>
    <w:rsid w:val="002331FB"/>
    <w:rsid w:val="002333C0"/>
    <w:rsid w:val="002333FA"/>
    <w:rsid w:val="0023363E"/>
    <w:rsid w:val="002337A1"/>
    <w:rsid w:val="002338CB"/>
    <w:rsid w:val="002339AE"/>
    <w:rsid w:val="00233BF6"/>
    <w:rsid w:val="00234736"/>
    <w:rsid w:val="002347BE"/>
    <w:rsid w:val="00234B71"/>
    <w:rsid w:val="00234EB3"/>
    <w:rsid w:val="00235240"/>
    <w:rsid w:val="00235668"/>
    <w:rsid w:val="00235A7F"/>
    <w:rsid w:val="00235AED"/>
    <w:rsid w:val="00235CA6"/>
    <w:rsid w:val="00236047"/>
    <w:rsid w:val="0023610A"/>
    <w:rsid w:val="002366C9"/>
    <w:rsid w:val="00236870"/>
    <w:rsid w:val="002368CA"/>
    <w:rsid w:val="00236E1C"/>
    <w:rsid w:val="00236F25"/>
    <w:rsid w:val="0023716A"/>
    <w:rsid w:val="00237291"/>
    <w:rsid w:val="00237491"/>
    <w:rsid w:val="002374EB"/>
    <w:rsid w:val="00237A8D"/>
    <w:rsid w:val="002401FA"/>
    <w:rsid w:val="0024053E"/>
    <w:rsid w:val="00240793"/>
    <w:rsid w:val="00240ECF"/>
    <w:rsid w:val="002410DA"/>
    <w:rsid w:val="002411DF"/>
    <w:rsid w:val="002414EB"/>
    <w:rsid w:val="0024160B"/>
    <w:rsid w:val="00241745"/>
    <w:rsid w:val="00241B74"/>
    <w:rsid w:val="00241D5B"/>
    <w:rsid w:val="00241D8C"/>
    <w:rsid w:val="00241DBF"/>
    <w:rsid w:val="002421FB"/>
    <w:rsid w:val="00242385"/>
    <w:rsid w:val="00242406"/>
    <w:rsid w:val="0024250F"/>
    <w:rsid w:val="002426E5"/>
    <w:rsid w:val="002426FE"/>
    <w:rsid w:val="002427BE"/>
    <w:rsid w:val="00242D65"/>
    <w:rsid w:val="0024303A"/>
    <w:rsid w:val="0024349B"/>
    <w:rsid w:val="002436B6"/>
    <w:rsid w:val="002437E6"/>
    <w:rsid w:val="00243B78"/>
    <w:rsid w:val="00243FAA"/>
    <w:rsid w:val="002440B0"/>
    <w:rsid w:val="002443C4"/>
    <w:rsid w:val="00244956"/>
    <w:rsid w:val="00244A20"/>
    <w:rsid w:val="00244EE1"/>
    <w:rsid w:val="0024519E"/>
    <w:rsid w:val="00245246"/>
    <w:rsid w:val="002453F3"/>
    <w:rsid w:val="00245603"/>
    <w:rsid w:val="002457C4"/>
    <w:rsid w:val="00245DE6"/>
    <w:rsid w:val="00245E07"/>
    <w:rsid w:val="00246245"/>
    <w:rsid w:val="0024643C"/>
    <w:rsid w:val="002464A7"/>
    <w:rsid w:val="002467CB"/>
    <w:rsid w:val="002468BE"/>
    <w:rsid w:val="00246974"/>
    <w:rsid w:val="002475A6"/>
    <w:rsid w:val="002475FE"/>
    <w:rsid w:val="0024779F"/>
    <w:rsid w:val="002478B3"/>
    <w:rsid w:val="00247AD6"/>
    <w:rsid w:val="00247CCA"/>
    <w:rsid w:val="00247D81"/>
    <w:rsid w:val="00247F46"/>
    <w:rsid w:val="00247FA8"/>
    <w:rsid w:val="00250154"/>
    <w:rsid w:val="002502F9"/>
    <w:rsid w:val="00250575"/>
    <w:rsid w:val="00250C0A"/>
    <w:rsid w:val="00250D77"/>
    <w:rsid w:val="00250D91"/>
    <w:rsid w:val="00251247"/>
    <w:rsid w:val="0025148B"/>
    <w:rsid w:val="00251606"/>
    <w:rsid w:val="00251846"/>
    <w:rsid w:val="002518A2"/>
    <w:rsid w:val="002518E3"/>
    <w:rsid w:val="00251A7C"/>
    <w:rsid w:val="00251D3E"/>
    <w:rsid w:val="00251DD1"/>
    <w:rsid w:val="00252177"/>
    <w:rsid w:val="00252368"/>
    <w:rsid w:val="002526F3"/>
    <w:rsid w:val="00252738"/>
    <w:rsid w:val="00252F0F"/>
    <w:rsid w:val="002531DC"/>
    <w:rsid w:val="002533DA"/>
    <w:rsid w:val="0025446F"/>
    <w:rsid w:val="00254729"/>
    <w:rsid w:val="00254B03"/>
    <w:rsid w:val="00254B44"/>
    <w:rsid w:val="00254B4E"/>
    <w:rsid w:val="00254B61"/>
    <w:rsid w:val="00254F41"/>
    <w:rsid w:val="00255174"/>
    <w:rsid w:val="002551FE"/>
    <w:rsid w:val="00255205"/>
    <w:rsid w:val="00255214"/>
    <w:rsid w:val="00255491"/>
    <w:rsid w:val="002555BD"/>
    <w:rsid w:val="00255CDA"/>
    <w:rsid w:val="00255F39"/>
    <w:rsid w:val="00256435"/>
    <w:rsid w:val="002564CF"/>
    <w:rsid w:val="002567B4"/>
    <w:rsid w:val="002567C8"/>
    <w:rsid w:val="00256996"/>
    <w:rsid w:val="002576A6"/>
    <w:rsid w:val="002579B1"/>
    <w:rsid w:val="00257A33"/>
    <w:rsid w:val="00257B6E"/>
    <w:rsid w:val="00257B75"/>
    <w:rsid w:val="00257CA0"/>
    <w:rsid w:val="00257E6C"/>
    <w:rsid w:val="00260047"/>
    <w:rsid w:val="002602F0"/>
    <w:rsid w:val="00260438"/>
    <w:rsid w:val="002606F9"/>
    <w:rsid w:val="00260968"/>
    <w:rsid w:val="00260EFC"/>
    <w:rsid w:val="002610AC"/>
    <w:rsid w:val="002614FF"/>
    <w:rsid w:val="0026161F"/>
    <w:rsid w:val="00261764"/>
    <w:rsid w:val="00261F26"/>
    <w:rsid w:val="00261FA4"/>
    <w:rsid w:val="002621D8"/>
    <w:rsid w:val="002628D8"/>
    <w:rsid w:val="00262E1F"/>
    <w:rsid w:val="00262E21"/>
    <w:rsid w:val="00262EB8"/>
    <w:rsid w:val="00262F1C"/>
    <w:rsid w:val="00263221"/>
    <w:rsid w:val="00263299"/>
    <w:rsid w:val="00263375"/>
    <w:rsid w:val="002634BD"/>
    <w:rsid w:val="002634D9"/>
    <w:rsid w:val="0026355E"/>
    <w:rsid w:val="0026366E"/>
    <w:rsid w:val="0026368A"/>
    <w:rsid w:val="00263734"/>
    <w:rsid w:val="00263C26"/>
    <w:rsid w:val="00263F44"/>
    <w:rsid w:val="00264783"/>
    <w:rsid w:val="002647F3"/>
    <w:rsid w:val="00264E36"/>
    <w:rsid w:val="00264E68"/>
    <w:rsid w:val="00264EA4"/>
    <w:rsid w:val="00264FD7"/>
    <w:rsid w:val="00265403"/>
    <w:rsid w:val="0026577B"/>
    <w:rsid w:val="00265A05"/>
    <w:rsid w:val="00265B2E"/>
    <w:rsid w:val="00265DB0"/>
    <w:rsid w:val="00265EB2"/>
    <w:rsid w:val="002662B7"/>
    <w:rsid w:val="002662E6"/>
    <w:rsid w:val="00266613"/>
    <w:rsid w:val="00266CD3"/>
    <w:rsid w:val="00266E8C"/>
    <w:rsid w:val="00266F1A"/>
    <w:rsid w:val="0026719A"/>
    <w:rsid w:val="0026771B"/>
    <w:rsid w:val="00267D93"/>
    <w:rsid w:val="00267EDB"/>
    <w:rsid w:val="0027074A"/>
    <w:rsid w:val="00270A73"/>
    <w:rsid w:val="0027138C"/>
    <w:rsid w:val="00271732"/>
    <w:rsid w:val="002717C9"/>
    <w:rsid w:val="00271A49"/>
    <w:rsid w:val="00271D39"/>
    <w:rsid w:val="0027200D"/>
    <w:rsid w:val="00272481"/>
    <w:rsid w:val="002724E0"/>
    <w:rsid w:val="002727FB"/>
    <w:rsid w:val="00272A47"/>
    <w:rsid w:val="00272AF3"/>
    <w:rsid w:val="00272D07"/>
    <w:rsid w:val="00272F45"/>
    <w:rsid w:val="00273271"/>
    <w:rsid w:val="0027344E"/>
    <w:rsid w:val="0027347E"/>
    <w:rsid w:val="002737A7"/>
    <w:rsid w:val="00273947"/>
    <w:rsid w:val="00273B25"/>
    <w:rsid w:val="00273C1C"/>
    <w:rsid w:val="00273E15"/>
    <w:rsid w:val="00273FC2"/>
    <w:rsid w:val="0027405C"/>
    <w:rsid w:val="00274431"/>
    <w:rsid w:val="002748C7"/>
    <w:rsid w:val="00274B33"/>
    <w:rsid w:val="00275083"/>
    <w:rsid w:val="00275167"/>
    <w:rsid w:val="00275363"/>
    <w:rsid w:val="002754DA"/>
    <w:rsid w:val="0027570E"/>
    <w:rsid w:val="00275832"/>
    <w:rsid w:val="00275B57"/>
    <w:rsid w:val="00275DA9"/>
    <w:rsid w:val="0027641A"/>
    <w:rsid w:val="0027662C"/>
    <w:rsid w:val="0027663C"/>
    <w:rsid w:val="002766BB"/>
    <w:rsid w:val="00276B0B"/>
    <w:rsid w:val="00276B3E"/>
    <w:rsid w:val="00276B5A"/>
    <w:rsid w:val="00276CBD"/>
    <w:rsid w:val="00276E4C"/>
    <w:rsid w:val="00277067"/>
    <w:rsid w:val="002772A1"/>
    <w:rsid w:val="002773CB"/>
    <w:rsid w:val="00277638"/>
    <w:rsid w:val="0027773A"/>
    <w:rsid w:val="0027776D"/>
    <w:rsid w:val="00277894"/>
    <w:rsid w:val="002778B1"/>
    <w:rsid w:val="00277CC9"/>
    <w:rsid w:val="00277D32"/>
    <w:rsid w:val="00280124"/>
    <w:rsid w:val="0028036B"/>
    <w:rsid w:val="0028065E"/>
    <w:rsid w:val="0028072B"/>
    <w:rsid w:val="00280B8B"/>
    <w:rsid w:val="00280FB7"/>
    <w:rsid w:val="0028123E"/>
    <w:rsid w:val="00281274"/>
    <w:rsid w:val="002814DB"/>
    <w:rsid w:val="002814F6"/>
    <w:rsid w:val="00281590"/>
    <w:rsid w:val="00281867"/>
    <w:rsid w:val="00281947"/>
    <w:rsid w:val="00281E53"/>
    <w:rsid w:val="00281E88"/>
    <w:rsid w:val="00282A2D"/>
    <w:rsid w:val="00282BF8"/>
    <w:rsid w:val="00282D81"/>
    <w:rsid w:val="00282FBF"/>
    <w:rsid w:val="002834EF"/>
    <w:rsid w:val="00283884"/>
    <w:rsid w:val="00283B84"/>
    <w:rsid w:val="00284066"/>
    <w:rsid w:val="00284079"/>
    <w:rsid w:val="00284B7E"/>
    <w:rsid w:val="00284D5F"/>
    <w:rsid w:val="00284E0C"/>
    <w:rsid w:val="00284FC1"/>
    <w:rsid w:val="00285467"/>
    <w:rsid w:val="002854D2"/>
    <w:rsid w:val="002858B2"/>
    <w:rsid w:val="00285962"/>
    <w:rsid w:val="00285B81"/>
    <w:rsid w:val="00285F63"/>
    <w:rsid w:val="00285F79"/>
    <w:rsid w:val="0028610F"/>
    <w:rsid w:val="00286245"/>
    <w:rsid w:val="0028694A"/>
    <w:rsid w:val="00286AF8"/>
    <w:rsid w:val="00286C28"/>
    <w:rsid w:val="00286E89"/>
    <w:rsid w:val="00286F69"/>
    <w:rsid w:val="002875EE"/>
    <w:rsid w:val="0028771F"/>
    <w:rsid w:val="00287C14"/>
    <w:rsid w:val="00287CE2"/>
    <w:rsid w:val="00290071"/>
    <w:rsid w:val="00290188"/>
    <w:rsid w:val="0029024B"/>
    <w:rsid w:val="002903F0"/>
    <w:rsid w:val="0029049A"/>
    <w:rsid w:val="00290609"/>
    <w:rsid w:val="0029076D"/>
    <w:rsid w:val="0029090A"/>
    <w:rsid w:val="00290D20"/>
    <w:rsid w:val="00290D5F"/>
    <w:rsid w:val="00290DDC"/>
    <w:rsid w:val="00291018"/>
    <w:rsid w:val="0029101B"/>
    <w:rsid w:val="00291150"/>
    <w:rsid w:val="0029118C"/>
    <w:rsid w:val="002913A2"/>
    <w:rsid w:val="0029178C"/>
    <w:rsid w:val="0029179F"/>
    <w:rsid w:val="00291980"/>
    <w:rsid w:val="00291BC5"/>
    <w:rsid w:val="002920A1"/>
    <w:rsid w:val="00292113"/>
    <w:rsid w:val="00292591"/>
    <w:rsid w:val="002925AD"/>
    <w:rsid w:val="00292BA8"/>
    <w:rsid w:val="002930BA"/>
    <w:rsid w:val="002934D0"/>
    <w:rsid w:val="002935E0"/>
    <w:rsid w:val="00293B03"/>
    <w:rsid w:val="0029449A"/>
    <w:rsid w:val="002945B4"/>
    <w:rsid w:val="0029468A"/>
    <w:rsid w:val="00294936"/>
    <w:rsid w:val="00294BA0"/>
    <w:rsid w:val="00294CEC"/>
    <w:rsid w:val="00294DF1"/>
    <w:rsid w:val="00295359"/>
    <w:rsid w:val="002955B4"/>
    <w:rsid w:val="00295715"/>
    <w:rsid w:val="0029578C"/>
    <w:rsid w:val="00295AE3"/>
    <w:rsid w:val="00295B16"/>
    <w:rsid w:val="00295B9B"/>
    <w:rsid w:val="00295E68"/>
    <w:rsid w:val="00296045"/>
    <w:rsid w:val="00296162"/>
    <w:rsid w:val="0029626E"/>
    <w:rsid w:val="002963FE"/>
    <w:rsid w:val="0029677D"/>
    <w:rsid w:val="00296A1D"/>
    <w:rsid w:val="00296BFF"/>
    <w:rsid w:val="00296C43"/>
    <w:rsid w:val="00297100"/>
    <w:rsid w:val="002975A1"/>
    <w:rsid w:val="002976FE"/>
    <w:rsid w:val="0029786F"/>
    <w:rsid w:val="00297B7A"/>
    <w:rsid w:val="00297D37"/>
    <w:rsid w:val="00297EBA"/>
    <w:rsid w:val="002A0E77"/>
    <w:rsid w:val="002A1388"/>
    <w:rsid w:val="002A14BB"/>
    <w:rsid w:val="002A153F"/>
    <w:rsid w:val="002A20AF"/>
    <w:rsid w:val="002A2177"/>
    <w:rsid w:val="002A262B"/>
    <w:rsid w:val="002A29C1"/>
    <w:rsid w:val="002A2F48"/>
    <w:rsid w:val="002A30C5"/>
    <w:rsid w:val="002A3436"/>
    <w:rsid w:val="002A4181"/>
    <w:rsid w:val="002A44DB"/>
    <w:rsid w:val="002A461E"/>
    <w:rsid w:val="002A46B0"/>
    <w:rsid w:val="002A4807"/>
    <w:rsid w:val="002A4869"/>
    <w:rsid w:val="002A49D4"/>
    <w:rsid w:val="002A4F26"/>
    <w:rsid w:val="002A50AE"/>
    <w:rsid w:val="002A51B9"/>
    <w:rsid w:val="002A548D"/>
    <w:rsid w:val="002A5520"/>
    <w:rsid w:val="002A55E3"/>
    <w:rsid w:val="002A5BBC"/>
    <w:rsid w:val="002A5EA7"/>
    <w:rsid w:val="002A62B7"/>
    <w:rsid w:val="002A6332"/>
    <w:rsid w:val="002A6CF3"/>
    <w:rsid w:val="002A6DA7"/>
    <w:rsid w:val="002A7329"/>
    <w:rsid w:val="002A7C4F"/>
    <w:rsid w:val="002A7C90"/>
    <w:rsid w:val="002A7F87"/>
    <w:rsid w:val="002B02CB"/>
    <w:rsid w:val="002B039B"/>
    <w:rsid w:val="002B048C"/>
    <w:rsid w:val="002B0958"/>
    <w:rsid w:val="002B0C76"/>
    <w:rsid w:val="002B0CBA"/>
    <w:rsid w:val="002B0D9C"/>
    <w:rsid w:val="002B0FED"/>
    <w:rsid w:val="002B102F"/>
    <w:rsid w:val="002B1453"/>
    <w:rsid w:val="002B1892"/>
    <w:rsid w:val="002B1A25"/>
    <w:rsid w:val="002B1D1F"/>
    <w:rsid w:val="002B1D44"/>
    <w:rsid w:val="002B1D60"/>
    <w:rsid w:val="002B1DE8"/>
    <w:rsid w:val="002B1FCF"/>
    <w:rsid w:val="002B20F5"/>
    <w:rsid w:val="002B2137"/>
    <w:rsid w:val="002B2334"/>
    <w:rsid w:val="002B2844"/>
    <w:rsid w:val="002B2B0F"/>
    <w:rsid w:val="002B2C97"/>
    <w:rsid w:val="002B2D15"/>
    <w:rsid w:val="002B2F39"/>
    <w:rsid w:val="002B31A1"/>
    <w:rsid w:val="002B33A8"/>
    <w:rsid w:val="002B3506"/>
    <w:rsid w:val="002B376F"/>
    <w:rsid w:val="002B38C8"/>
    <w:rsid w:val="002B3F34"/>
    <w:rsid w:val="002B3FEC"/>
    <w:rsid w:val="002B402D"/>
    <w:rsid w:val="002B410F"/>
    <w:rsid w:val="002B43BB"/>
    <w:rsid w:val="002B448F"/>
    <w:rsid w:val="002B4748"/>
    <w:rsid w:val="002B480F"/>
    <w:rsid w:val="002B4B2E"/>
    <w:rsid w:val="002B4BB3"/>
    <w:rsid w:val="002B511D"/>
    <w:rsid w:val="002B53A1"/>
    <w:rsid w:val="002B5A2C"/>
    <w:rsid w:val="002B5A4F"/>
    <w:rsid w:val="002B6117"/>
    <w:rsid w:val="002B67BB"/>
    <w:rsid w:val="002B6880"/>
    <w:rsid w:val="002B6BBC"/>
    <w:rsid w:val="002B6BFC"/>
    <w:rsid w:val="002B6E97"/>
    <w:rsid w:val="002B7064"/>
    <w:rsid w:val="002B75A2"/>
    <w:rsid w:val="002B77A0"/>
    <w:rsid w:val="002B785F"/>
    <w:rsid w:val="002B7A35"/>
    <w:rsid w:val="002B7C1F"/>
    <w:rsid w:val="002C00F2"/>
    <w:rsid w:val="002C0555"/>
    <w:rsid w:val="002C070F"/>
    <w:rsid w:val="002C0784"/>
    <w:rsid w:val="002C0B08"/>
    <w:rsid w:val="002C0C10"/>
    <w:rsid w:val="002C0C5A"/>
    <w:rsid w:val="002C12D2"/>
    <w:rsid w:val="002C1A63"/>
    <w:rsid w:val="002C1F8B"/>
    <w:rsid w:val="002C2060"/>
    <w:rsid w:val="002C2205"/>
    <w:rsid w:val="002C2A19"/>
    <w:rsid w:val="002C2D8B"/>
    <w:rsid w:val="002C2E44"/>
    <w:rsid w:val="002C3190"/>
    <w:rsid w:val="002C3375"/>
    <w:rsid w:val="002C3420"/>
    <w:rsid w:val="002C3707"/>
    <w:rsid w:val="002C38C7"/>
    <w:rsid w:val="002C3DC5"/>
    <w:rsid w:val="002C3DFB"/>
    <w:rsid w:val="002C41B5"/>
    <w:rsid w:val="002C42E2"/>
    <w:rsid w:val="002C459F"/>
    <w:rsid w:val="002C46A9"/>
    <w:rsid w:val="002C4A6F"/>
    <w:rsid w:val="002C51CC"/>
    <w:rsid w:val="002C5385"/>
    <w:rsid w:val="002C5622"/>
    <w:rsid w:val="002C5A8C"/>
    <w:rsid w:val="002C5BB9"/>
    <w:rsid w:val="002C6025"/>
    <w:rsid w:val="002C6069"/>
    <w:rsid w:val="002C6558"/>
    <w:rsid w:val="002C6AB3"/>
    <w:rsid w:val="002C6C84"/>
    <w:rsid w:val="002C6CBE"/>
    <w:rsid w:val="002C72A3"/>
    <w:rsid w:val="002C736E"/>
    <w:rsid w:val="002C7412"/>
    <w:rsid w:val="002C776A"/>
    <w:rsid w:val="002C77D0"/>
    <w:rsid w:val="002C78DF"/>
    <w:rsid w:val="002D00B6"/>
    <w:rsid w:val="002D00C0"/>
    <w:rsid w:val="002D01B6"/>
    <w:rsid w:val="002D01D3"/>
    <w:rsid w:val="002D0517"/>
    <w:rsid w:val="002D07FD"/>
    <w:rsid w:val="002D0835"/>
    <w:rsid w:val="002D0A75"/>
    <w:rsid w:val="002D0B89"/>
    <w:rsid w:val="002D14A5"/>
    <w:rsid w:val="002D1505"/>
    <w:rsid w:val="002D1634"/>
    <w:rsid w:val="002D16A8"/>
    <w:rsid w:val="002D1700"/>
    <w:rsid w:val="002D1866"/>
    <w:rsid w:val="002D1A42"/>
    <w:rsid w:val="002D1AD2"/>
    <w:rsid w:val="002D2942"/>
    <w:rsid w:val="002D2D76"/>
    <w:rsid w:val="002D2DB6"/>
    <w:rsid w:val="002D2DD6"/>
    <w:rsid w:val="002D34AD"/>
    <w:rsid w:val="002D3665"/>
    <w:rsid w:val="002D3848"/>
    <w:rsid w:val="002D388C"/>
    <w:rsid w:val="002D392A"/>
    <w:rsid w:val="002D3C3E"/>
    <w:rsid w:val="002D3C95"/>
    <w:rsid w:val="002D3D6D"/>
    <w:rsid w:val="002D418C"/>
    <w:rsid w:val="002D42B3"/>
    <w:rsid w:val="002D4466"/>
    <w:rsid w:val="002D44D5"/>
    <w:rsid w:val="002D46CC"/>
    <w:rsid w:val="002D46FC"/>
    <w:rsid w:val="002D4764"/>
    <w:rsid w:val="002D4E23"/>
    <w:rsid w:val="002D529A"/>
    <w:rsid w:val="002D54B0"/>
    <w:rsid w:val="002D596C"/>
    <w:rsid w:val="002D5EC4"/>
    <w:rsid w:val="002D5F86"/>
    <w:rsid w:val="002D6AF2"/>
    <w:rsid w:val="002D6F18"/>
    <w:rsid w:val="002D70BB"/>
    <w:rsid w:val="002D739F"/>
    <w:rsid w:val="002D75F2"/>
    <w:rsid w:val="002D7857"/>
    <w:rsid w:val="002D7CF2"/>
    <w:rsid w:val="002D7FFD"/>
    <w:rsid w:val="002E0101"/>
    <w:rsid w:val="002E0165"/>
    <w:rsid w:val="002E0232"/>
    <w:rsid w:val="002E02AD"/>
    <w:rsid w:val="002E02EB"/>
    <w:rsid w:val="002E0476"/>
    <w:rsid w:val="002E0592"/>
    <w:rsid w:val="002E06A8"/>
    <w:rsid w:val="002E0E55"/>
    <w:rsid w:val="002E1589"/>
    <w:rsid w:val="002E1620"/>
    <w:rsid w:val="002E1780"/>
    <w:rsid w:val="002E189D"/>
    <w:rsid w:val="002E1CF7"/>
    <w:rsid w:val="002E1D93"/>
    <w:rsid w:val="002E1FE5"/>
    <w:rsid w:val="002E2024"/>
    <w:rsid w:val="002E22A4"/>
    <w:rsid w:val="002E2546"/>
    <w:rsid w:val="002E25EA"/>
    <w:rsid w:val="002E26E0"/>
    <w:rsid w:val="002E2C64"/>
    <w:rsid w:val="002E3518"/>
    <w:rsid w:val="002E3897"/>
    <w:rsid w:val="002E420E"/>
    <w:rsid w:val="002E43A0"/>
    <w:rsid w:val="002E4454"/>
    <w:rsid w:val="002E4903"/>
    <w:rsid w:val="002E4A53"/>
    <w:rsid w:val="002E4FC8"/>
    <w:rsid w:val="002E541E"/>
    <w:rsid w:val="002E5554"/>
    <w:rsid w:val="002E5E5F"/>
    <w:rsid w:val="002E5ED0"/>
    <w:rsid w:val="002E5F86"/>
    <w:rsid w:val="002E631C"/>
    <w:rsid w:val="002E6D0B"/>
    <w:rsid w:val="002E6D42"/>
    <w:rsid w:val="002E71B3"/>
    <w:rsid w:val="002E76D8"/>
    <w:rsid w:val="002E7738"/>
    <w:rsid w:val="002E798A"/>
    <w:rsid w:val="002E7A9E"/>
    <w:rsid w:val="002E7D48"/>
    <w:rsid w:val="002F043A"/>
    <w:rsid w:val="002F0925"/>
    <w:rsid w:val="002F0996"/>
    <w:rsid w:val="002F09D1"/>
    <w:rsid w:val="002F0A82"/>
    <w:rsid w:val="002F0C74"/>
    <w:rsid w:val="002F140F"/>
    <w:rsid w:val="002F17CB"/>
    <w:rsid w:val="002F1848"/>
    <w:rsid w:val="002F1A47"/>
    <w:rsid w:val="002F1A8D"/>
    <w:rsid w:val="002F1B1E"/>
    <w:rsid w:val="002F2140"/>
    <w:rsid w:val="002F234B"/>
    <w:rsid w:val="002F23DC"/>
    <w:rsid w:val="002F251B"/>
    <w:rsid w:val="002F263D"/>
    <w:rsid w:val="002F2845"/>
    <w:rsid w:val="002F2BF8"/>
    <w:rsid w:val="002F2F0C"/>
    <w:rsid w:val="002F316D"/>
    <w:rsid w:val="002F3928"/>
    <w:rsid w:val="002F3A68"/>
    <w:rsid w:val="002F3EF1"/>
    <w:rsid w:val="002F45AE"/>
    <w:rsid w:val="002F46FC"/>
    <w:rsid w:val="002F49CB"/>
    <w:rsid w:val="002F4A44"/>
    <w:rsid w:val="002F5331"/>
    <w:rsid w:val="002F574C"/>
    <w:rsid w:val="002F581A"/>
    <w:rsid w:val="002F585C"/>
    <w:rsid w:val="002F61AB"/>
    <w:rsid w:val="002F61D5"/>
    <w:rsid w:val="002F63D7"/>
    <w:rsid w:val="002F65A1"/>
    <w:rsid w:val="002F65DA"/>
    <w:rsid w:val="002F68BE"/>
    <w:rsid w:val="002F714D"/>
    <w:rsid w:val="002F7358"/>
    <w:rsid w:val="002F760C"/>
    <w:rsid w:val="002F77F9"/>
    <w:rsid w:val="002F7FB6"/>
    <w:rsid w:val="003000B4"/>
    <w:rsid w:val="00300428"/>
    <w:rsid w:val="00300534"/>
    <w:rsid w:val="0030072E"/>
    <w:rsid w:val="003009E4"/>
    <w:rsid w:val="00300A2F"/>
    <w:rsid w:val="00300ECF"/>
    <w:rsid w:val="00300FB4"/>
    <w:rsid w:val="00301283"/>
    <w:rsid w:val="003013CE"/>
    <w:rsid w:val="00301465"/>
    <w:rsid w:val="00301885"/>
    <w:rsid w:val="00302218"/>
    <w:rsid w:val="00302421"/>
    <w:rsid w:val="0030242F"/>
    <w:rsid w:val="00302523"/>
    <w:rsid w:val="0030257B"/>
    <w:rsid w:val="0030265C"/>
    <w:rsid w:val="003029BD"/>
    <w:rsid w:val="00302B79"/>
    <w:rsid w:val="00302D87"/>
    <w:rsid w:val="00303175"/>
    <w:rsid w:val="0030323A"/>
    <w:rsid w:val="00303978"/>
    <w:rsid w:val="00303A01"/>
    <w:rsid w:val="00303C38"/>
    <w:rsid w:val="00303D18"/>
    <w:rsid w:val="00303E13"/>
    <w:rsid w:val="00303EE3"/>
    <w:rsid w:val="00303F2A"/>
    <w:rsid w:val="00303FDD"/>
    <w:rsid w:val="00304262"/>
    <w:rsid w:val="0030430C"/>
    <w:rsid w:val="00304380"/>
    <w:rsid w:val="003046EB"/>
    <w:rsid w:val="003047F7"/>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0BA"/>
    <w:rsid w:val="00310145"/>
    <w:rsid w:val="0031018A"/>
    <w:rsid w:val="00310357"/>
    <w:rsid w:val="00310850"/>
    <w:rsid w:val="00310B3A"/>
    <w:rsid w:val="00310C53"/>
    <w:rsid w:val="003111A2"/>
    <w:rsid w:val="003115D5"/>
    <w:rsid w:val="003116E3"/>
    <w:rsid w:val="0031177C"/>
    <w:rsid w:val="00311B82"/>
    <w:rsid w:val="00311C8C"/>
    <w:rsid w:val="00311E19"/>
    <w:rsid w:val="003124B7"/>
    <w:rsid w:val="003128B2"/>
    <w:rsid w:val="00312984"/>
    <w:rsid w:val="00312994"/>
    <w:rsid w:val="00312CD7"/>
    <w:rsid w:val="00312D3F"/>
    <w:rsid w:val="00312F5E"/>
    <w:rsid w:val="00313278"/>
    <w:rsid w:val="003132AB"/>
    <w:rsid w:val="00313577"/>
    <w:rsid w:val="00313589"/>
    <w:rsid w:val="0031371B"/>
    <w:rsid w:val="0031386F"/>
    <w:rsid w:val="00313A78"/>
    <w:rsid w:val="00313B17"/>
    <w:rsid w:val="00313ED2"/>
    <w:rsid w:val="00313F1E"/>
    <w:rsid w:val="00313F47"/>
    <w:rsid w:val="0031447C"/>
    <w:rsid w:val="0031469F"/>
    <w:rsid w:val="00314733"/>
    <w:rsid w:val="00314BDA"/>
    <w:rsid w:val="00314BED"/>
    <w:rsid w:val="00314F0A"/>
    <w:rsid w:val="00315048"/>
    <w:rsid w:val="00315151"/>
    <w:rsid w:val="00315399"/>
    <w:rsid w:val="003153EE"/>
    <w:rsid w:val="0031565D"/>
    <w:rsid w:val="00315C01"/>
    <w:rsid w:val="00315CB1"/>
    <w:rsid w:val="00316977"/>
    <w:rsid w:val="00316CCF"/>
    <w:rsid w:val="00317315"/>
    <w:rsid w:val="0031736D"/>
    <w:rsid w:val="003173AE"/>
    <w:rsid w:val="00317505"/>
    <w:rsid w:val="00317758"/>
    <w:rsid w:val="003178B3"/>
    <w:rsid w:val="003179E0"/>
    <w:rsid w:val="00317A00"/>
    <w:rsid w:val="00317B7F"/>
    <w:rsid w:val="0032001B"/>
    <w:rsid w:val="00320382"/>
    <w:rsid w:val="00320515"/>
    <w:rsid w:val="00320B43"/>
    <w:rsid w:val="00320C06"/>
    <w:rsid w:val="00320F53"/>
    <w:rsid w:val="003212B8"/>
    <w:rsid w:val="0032221B"/>
    <w:rsid w:val="00322547"/>
    <w:rsid w:val="00322910"/>
    <w:rsid w:val="00322EE5"/>
    <w:rsid w:val="00322F85"/>
    <w:rsid w:val="003230D0"/>
    <w:rsid w:val="003234A3"/>
    <w:rsid w:val="003237B8"/>
    <w:rsid w:val="003238AD"/>
    <w:rsid w:val="00323907"/>
    <w:rsid w:val="00323956"/>
    <w:rsid w:val="003239E1"/>
    <w:rsid w:val="00323C96"/>
    <w:rsid w:val="00323E12"/>
    <w:rsid w:val="0032436C"/>
    <w:rsid w:val="0032443D"/>
    <w:rsid w:val="00324E6C"/>
    <w:rsid w:val="00324ECF"/>
    <w:rsid w:val="0032507F"/>
    <w:rsid w:val="0032564A"/>
    <w:rsid w:val="0032590C"/>
    <w:rsid w:val="00325F2C"/>
    <w:rsid w:val="00326055"/>
    <w:rsid w:val="003260A6"/>
    <w:rsid w:val="003260B8"/>
    <w:rsid w:val="003263AB"/>
    <w:rsid w:val="003263F6"/>
    <w:rsid w:val="00326496"/>
    <w:rsid w:val="003266F1"/>
    <w:rsid w:val="0032671E"/>
    <w:rsid w:val="00326A88"/>
    <w:rsid w:val="00326D14"/>
    <w:rsid w:val="00326E17"/>
    <w:rsid w:val="00326FDC"/>
    <w:rsid w:val="00327238"/>
    <w:rsid w:val="00327F04"/>
    <w:rsid w:val="00330186"/>
    <w:rsid w:val="003301AD"/>
    <w:rsid w:val="003303E1"/>
    <w:rsid w:val="0033041E"/>
    <w:rsid w:val="0033075F"/>
    <w:rsid w:val="00330968"/>
    <w:rsid w:val="00330C76"/>
    <w:rsid w:val="00330F8C"/>
    <w:rsid w:val="0033138A"/>
    <w:rsid w:val="003315CE"/>
    <w:rsid w:val="00331992"/>
    <w:rsid w:val="00331E83"/>
    <w:rsid w:val="00331F98"/>
    <w:rsid w:val="00331FB7"/>
    <w:rsid w:val="003320F6"/>
    <w:rsid w:val="00332688"/>
    <w:rsid w:val="00332CF2"/>
    <w:rsid w:val="00333111"/>
    <w:rsid w:val="0033315D"/>
    <w:rsid w:val="003336A8"/>
    <w:rsid w:val="00333726"/>
    <w:rsid w:val="003339B7"/>
    <w:rsid w:val="003339D7"/>
    <w:rsid w:val="00333B35"/>
    <w:rsid w:val="00333FA1"/>
    <w:rsid w:val="0033431A"/>
    <w:rsid w:val="00334BAF"/>
    <w:rsid w:val="00334E49"/>
    <w:rsid w:val="00334EB9"/>
    <w:rsid w:val="00334F85"/>
    <w:rsid w:val="00335121"/>
    <w:rsid w:val="00335223"/>
    <w:rsid w:val="0033534B"/>
    <w:rsid w:val="00335679"/>
    <w:rsid w:val="0033571D"/>
    <w:rsid w:val="00335827"/>
    <w:rsid w:val="00335AA1"/>
    <w:rsid w:val="00335E08"/>
    <w:rsid w:val="0033613B"/>
    <w:rsid w:val="0033616B"/>
    <w:rsid w:val="00336406"/>
    <w:rsid w:val="00336601"/>
    <w:rsid w:val="00336A70"/>
    <w:rsid w:val="00336D33"/>
    <w:rsid w:val="00336E10"/>
    <w:rsid w:val="00336E62"/>
    <w:rsid w:val="00336FDA"/>
    <w:rsid w:val="003372EF"/>
    <w:rsid w:val="00337ADF"/>
    <w:rsid w:val="00337CDA"/>
    <w:rsid w:val="00337F87"/>
    <w:rsid w:val="00337FC6"/>
    <w:rsid w:val="00340235"/>
    <w:rsid w:val="00340504"/>
    <w:rsid w:val="00340554"/>
    <w:rsid w:val="0034068E"/>
    <w:rsid w:val="00340B24"/>
    <w:rsid w:val="00340D5E"/>
    <w:rsid w:val="00340FCB"/>
    <w:rsid w:val="00341395"/>
    <w:rsid w:val="00341E1B"/>
    <w:rsid w:val="003420CF"/>
    <w:rsid w:val="00342554"/>
    <w:rsid w:val="003425C3"/>
    <w:rsid w:val="00342ABA"/>
    <w:rsid w:val="00342CCB"/>
    <w:rsid w:val="00342CF9"/>
    <w:rsid w:val="00342F2D"/>
    <w:rsid w:val="00343120"/>
    <w:rsid w:val="003434E2"/>
    <w:rsid w:val="00343757"/>
    <w:rsid w:val="00343B32"/>
    <w:rsid w:val="00343FF7"/>
    <w:rsid w:val="00344012"/>
    <w:rsid w:val="00344075"/>
    <w:rsid w:val="003440EE"/>
    <w:rsid w:val="00344427"/>
    <w:rsid w:val="00344820"/>
    <w:rsid w:val="0034483D"/>
    <w:rsid w:val="00344DE1"/>
    <w:rsid w:val="00344E15"/>
    <w:rsid w:val="00345050"/>
    <w:rsid w:val="003450BA"/>
    <w:rsid w:val="0034523F"/>
    <w:rsid w:val="003455D0"/>
    <w:rsid w:val="0034575C"/>
    <w:rsid w:val="00345818"/>
    <w:rsid w:val="00345CD7"/>
    <w:rsid w:val="00345DBD"/>
    <w:rsid w:val="00345E81"/>
    <w:rsid w:val="00346041"/>
    <w:rsid w:val="003461DC"/>
    <w:rsid w:val="003466B3"/>
    <w:rsid w:val="00346B67"/>
    <w:rsid w:val="00346E42"/>
    <w:rsid w:val="00347108"/>
    <w:rsid w:val="00347716"/>
    <w:rsid w:val="003477CF"/>
    <w:rsid w:val="00347C5A"/>
    <w:rsid w:val="00347EE4"/>
    <w:rsid w:val="003509C5"/>
    <w:rsid w:val="00350EE0"/>
    <w:rsid w:val="00350F8A"/>
    <w:rsid w:val="0035166F"/>
    <w:rsid w:val="00351707"/>
    <w:rsid w:val="0035196D"/>
    <w:rsid w:val="00351B56"/>
    <w:rsid w:val="00351FBA"/>
    <w:rsid w:val="00352411"/>
    <w:rsid w:val="00352437"/>
    <w:rsid w:val="0035256A"/>
    <w:rsid w:val="003528CA"/>
    <w:rsid w:val="00352987"/>
    <w:rsid w:val="003529E2"/>
    <w:rsid w:val="00352AF1"/>
    <w:rsid w:val="00352DDF"/>
    <w:rsid w:val="00353187"/>
    <w:rsid w:val="003531B5"/>
    <w:rsid w:val="003533B9"/>
    <w:rsid w:val="00353516"/>
    <w:rsid w:val="0035357B"/>
    <w:rsid w:val="003535A1"/>
    <w:rsid w:val="00353614"/>
    <w:rsid w:val="003536CA"/>
    <w:rsid w:val="00353783"/>
    <w:rsid w:val="00353929"/>
    <w:rsid w:val="00353C4C"/>
    <w:rsid w:val="00353C8C"/>
    <w:rsid w:val="00353CF3"/>
    <w:rsid w:val="003543B8"/>
    <w:rsid w:val="0035444A"/>
    <w:rsid w:val="00354D22"/>
    <w:rsid w:val="00355443"/>
    <w:rsid w:val="00355AF6"/>
    <w:rsid w:val="0035625F"/>
    <w:rsid w:val="00356548"/>
    <w:rsid w:val="0035658B"/>
    <w:rsid w:val="003567AE"/>
    <w:rsid w:val="00356A91"/>
    <w:rsid w:val="00356CCC"/>
    <w:rsid w:val="00356F93"/>
    <w:rsid w:val="003575A7"/>
    <w:rsid w:val="003576D1"/>
    <w:rsid w:val="0035789E"/>
    <w:rsid w:val="0035794C"/>
    <w:rsid w:val="00357A3C"/>
    <w:rsid w:val="00357B3F"/>
    <w:rsid w:val="00357C88"/>
    <w:rsid w:val="00357FD5"/>
    <w:rsid w:val="0036018D"/>
    <w:rsid w:val="00360555"/>
    <w:rsid w:val="003607B0"/>
    <w:rsid w:val="00360C98"/>
    <w:rsid w:val="00360E5B"/>
    <w:rsid w:val="003612C9"/>
    <w:rsid w:val="003613AE"/>
    <w:rsid w:val="003615F6"/>
    <w:rsid w:val="0036181F"/>
    <w:rsid w:val="00361849"/>
    <w:rsid w:val="00361852"/>
    <w:rsid w:val="00361888"/>
    <w:rsid w:val="0036193E"/>
    <w:rsid w:val="00361ADD"/>
    <w:rsid w:val="00361BBD"/>
    <w:rsid w:val="00361D51"/>
    <w:rsid w:val="00362051"/>
    <w:rsid w:val="003620EA"/>
    <w:rsid w:val="003621DE"/>
    <w:rsid w:val="003623A8"/>
    <w:rsid w:val="0036243B"/>
    <w:rsid w:val="00362843"/>
    <w:rsid w:val="00362A5F"/>
    <w:rsid w:val="00362BEE"/>
    <w:rsid w:val="0036353C"/>
    <w:rsid w:val="00363940"/>
    <w:rsid w:val="00363A1E"/>
    <w:rsid w:val="00363BB4"/>
    <w:rsid w:val="00363FDE"/>
    <w:rsid w:val="003640A0"/>
    <w:rsid w:val="00364173"/>
    <w:rsid w:val="003643B4"/>
    <w:rsid w:val="00364646"/>
    <w:rsid w:val="003649DD"/>
    <w:rsid w:val="00364B77"/>
    <w:rsid w:val="00364C86"/>
    <w:rsid w:val="00364CC9"/>
    <w:rsid w:val="00365345"/>
    <w:rsid w:val="0036548D"/>
    <w:rsid w:val="003654F8"/>
    <w:rsid w:val="0036587C"/>
    <w:rsid w:val="00365977"/>
    <w:rsid w:val="003661B9"/>
    <w:rsid w:val="00366ED5"/>
    <w:rsid w:val="00367D26"/>
    <w:rsid w:val="00367F41"/>
    <w:rsid w:val="00367F51"/>
    <w:rsid w:val="0037021B"/>
    <w:rsid w:val="00370312"/>
    <w:rsid w:val="003706EC"/>
    <w:rsid w:val="00370CB6"/>
    <w:rsid w:val="00370DAF"/>
    <w:rsid w:val="00371216"/>
    <w:rsid w:val="00371BD4"/>
    <w:rsid w:val="00372037"/>
    <w:rsid w:val="003721D1"/>
    <w:rsid w:val="003721D7"/>
    <w:rsid w:val="003722C2"/>
    <w:rsid w:val="003723D6"/>
    <w:rsid w:val="003723F5"/>
    <w:rsid w:val="003725B8"/>
    <w:rsid w:val="003725BC"/>
    <w:rsid w:val="0037263D"/>
    <w:rsid w:val="00372788"/>
    <w:rsid w:val="00372794"/>
    <w:rsid w:val="00372B05"/>
    <w:rsid w:val="00372B50"/>
    <w:rsid w:val="00372EC0"/>
    <w:rsid w:val="003731A0"/>
    <w:rsid w:val="00373500"/>
    <w:rsid w:val="003737D2"/>
    <w:rsid w:val="003738F4"/>
    <w:rsid w:val="00373D93"/>
    <w:rsid w:val="0037413C"/>
    <w:rsid w:val="003746E1"/>
    <w:rsid w:val="00374B8C"/>
    <w:rsid w:val="00374F3E"/>
    <w:rsid w:val="00375009"/>
    <w:rsid w:val="00375050"/>
    <w:rsid w:val="00375092"/>
    <w:rsid w:val="0037515C"/>
    <w:rsid w:val="003752B3"/>
    <w:rsid w:val="003752ED"/>
    <w:rsid w:val="00375326"/>
    <w:rsid w:val="0037561D"/>
    <w:rsid w:val="00375628"/>
    <w:rsid w:val="00375961"/>
    <w:rsid w:val="00375962"/>
    <w:rsid w:val="00375CE8"/>
    <w:rsid w:val="00375E64"/>
    <w:rsid w:val="003760BD"/>
    <w:rsid w:val="00376284"/>
    <w:rsid w:val="003763CC"/>
    <w:rsid w:val="00376405"/>
    <w:rsid w:val="00376900"/>
    <w:rsid w:val="00377139"/>
    <w:rsid w:val="0037745C"/>
    <w:rsid w:val="003774CC"/>
    <w:rsid w:val="003775BD"/>
    <w:rsid w:val="003776C2"/>
    <w:rsid w:val="003777BD"/>
    <w:rsid w:val="00377840"/>
    <w:rsid w:val="00377969"/>
    <w:rsid w:val="00377991"/>
    <w:rsid w:val="00377A48"/>
    <w:rsid w:val="00377D4F"/>
    <w:rsid w:val="00377D8B"/>
    <w:rsid w:val="00377E38"/>
    <w:rsid w:val="0038021C"/>
    <w:rsid w:val="00380274"/>
    <w:rsid w:val="00380394"/>
    <w:rsid w:val="0038041B"/>
    <w:rsid w:val="0038089D"/>
    <w:rsid w:val="003808AE"/>
    <w:rsid w:val="00380A36"/>
    <w:rsid w:val="00380BC4"/>
    <w:rsid w:val="0038126C"/>
    <w:rsid w:val="003812DC"/>
    <w:rsid w:val="003812E9"/>
    <w:rsid w:val="003812F9"/>
    <w:rsid w:val="003814BE"/>
    <w:rsid w:val="003817CB"/>
    <w:rsid w:val="003818C0"/>
    <w:rsid w:val="00381CEC"/>
    <w:rsid w:val="00382029"/>
    <w:rsid w:val="0038248F"/>
    <w:rsid w:val="003825DF"/>
    <w:rsid w:val="00382782"/>
    <w:rsid w:val="00382C8A"/>
    <w:rsid w:val="00382FA4"/>
    <w:rsid w:val="0038301D"/>
    <w:rsid w:val="00383021"/>
    <w:rsid w:val="003830AC"/>
    <w:rsid w:val="0038317C"/>
    <w:rsid w:val="003832AC"/>
    <w:rsid w:val="00383481"/>
    <w:rsid w:val="003836B0"/>
    <w:rsid w:val="003836EE"/>
    <w:rsid w:val="00383829"/>
    <w:rsid w:val="003838FA"/>
    <w:rsid w:val="00383A33"/>
    <w:rsid w:val="00383A62"/>
    <w:rsid w:val="00383ACD"/>
    <w:rsid w:val="00383C5F"/>
    <w:rsid w:val="00383F66"/>
    <w:rsid w:val="003840D1"/>
    <w:rsid w:val="00384170"/>
    <w:rsid w:val="00384214"/>
    <w:rsid w:val="00384453"/>
    <w:rsid w:val="003846F6"/>
    <w:rsid w:val="003848D2"/>
    <w:rsid w:val="00384DC7"/>
    <w:rsid w:val="00384EF9"/>
    <w:rsid w:val="00385031"/>
    <w:rsid w:val="00385155"/>
    <w:rsid w:val="00385332"/>
    <w:rsid w:val="003854C2"/>
    <w:rsid w:val="003855E1"/>
    <w:rsid w:val="00385CEE"/>
    <w:rsid w:val="00385DAC"/>
    <w:rsid w:val="00385DD0"/>
    <w:rsid w:val="003861F8"/>
    <w:rsid w:val="0038639D"/>
    <w:rsid w:val="003864D8"/>
    <w:rsid w:val="003864F0"/>
    <w:rsid w:val="00386540"/>
    <w:rsid w:val="00386B1C"/>
    <w:rsid w:val="00386F9D"/>
    <w:rsid w:val="003870CF"/>
    <w:rsid w:val="00387142"/>
    <w:rsid w:val="0038716E"/>
    <w:rsid w:val="003871C6"/>
    <w:rsid w:val="003871F3"/>
    <w:rsid w:val="003872F3"/>
    <w:rsid w:val="0038757B"/>
    <w:rsid w:val="0038773F"/>
    <w:rsid w:val="00387780"/>
    <w:rsid w:val="00387A3B"/>
    <w:rsid w:val="00387DF3"/>
    <w:rsid w:val="0039047A"/>
    <w:rsid w:val="00390B38"/>
    <w:rsid w:val="003914A2"/>
    <w:rsid w:val="00391519"/>
    <w:rsid w:val="00391BA0"/>
    <w:rsid w:val="0039200D"/>
    <w:rsid w:val="003920C6"/>
    <w:rsid w:val="0039228D"/>
    <w:rsid w:val="003922FB"/>
    <w:rsid w:val="00392825"/>
    <w:rsid w:val="00392D0A"/>
    <w:rsid w:val="003931A5"/>
    <w:rsid w:val="00393248"/>
    <w:rsid w:val="0039357D"/>
    <w:rsid w:val="003938D4"/>
    <w:rsid w:val="00393BF1"/>
    <w:rsid w:val="00393C80"/>
    <w:rsid w:val="0039403E"/>
    <w:rsid w:val="003944C7"/>
    <w:rsid w:val="003946EE"/>
    <w:rsid w:val="00394CF8"/>
    <w:rsid w:val="00394DF2"/>
    <w:rsid w:val="00394EBE"/>
    <w:rsid w:val="00394FD4"/>
    <w:rsid w:val="00395101"/>
    <w:rsid w:val="00395115"/>
    <w:rsid w:val="00395165"/>
    <w:rsid w:val="0039516D"/>
    <w:rsid w:val="003951AF"/>
    <w:rsid w:val="00395330"/>
    <w:rsid w:val="00395380"/>
    <w:rsid w:val="00395405"/>
    <w:rsid w:val="003955C8"/>
    <w:rsid w:val="003955F3"/>
    <w:rsid w:val="0039571C"/>
    <w:rsid w:val="00395857"/>
    <w:rsid w:val="0039593A"/>
    <w:rsid w:val="0039602A"/>
    <w:rsid w:val="003962CE"/>
    <w:rsid w:val="00396756"/>
    <w:rsid w:val="0039683B"/>
    <w:rsid w:val="00396AE1"/>
    <w:rsid w:val="00396B29"/>
    <w:rsid w:val="00396FB7"/>
    <w:rsid w:val="00397044"/>
    <w:rsid w:val="0039704D"/>
    <w:rsid w:val="00397690"/>
    <w:rsid w:val="003977FE"/>
    <w:rsid w:val="00397872"/>
    <w:rsid w:val="00397D54"/>
    <w:rsid w:val="003A026B"/>
    <w:rsid w:val="003A0441"/>
    <w:rsid w:val="003A04A3"/>
    <w:rsid w:val="003A05C9"/>
    <w:rsid w:val="003A08D0"/>
    <w:rsid w:val="003A0BDB"/>
    <w:rsid w:val="003A0C92"/>
    <w:rsid w:val="003A0CA2"/>
    <w:rsid w:val="003A1052"/>
    <w:rsid w:val="003A1209"/>
    <w:rsid w:val="003A13C2"/>
    <w:rsid w:val="003A1590"/>
    <w:rsid w:val="003A15F4"/>
    <w:rsid w:val="003A164A"/>
    <w:rsid w:val="003A17D5"/>
    <w:rsid w:val="003A1AC5"/>
    <w:rsid w:val="003A1B2F"/>
    <w:rsid w:val="003A1B8E"/>
    <w:rsid w:val="003A1F79"/>
    <w:rsid w:val="003A209A"/>
    <w:rsid w:val="003A213C"/>
    <w:rsid w:val="003A2169"/>
    <w:rsid w:val="003A2463"/>
    <w:rsid w:val="003A269E"/>
    <w:rsid w:val="003A322A"/>
    <w:rsid w:val="003A349A"/>
    <w:rsid w:val="003A36E2"/>
    <w:rsid w:val="003A37F4"/>
    <w:rsid w:val="003A3CAB"/>
    <w:rsid w:val="003A4155"/>
    <w:rsid w:val="003A4311"/>
    <w:rsid w:val="003A438A"/>
    <w:rsid w:val="003A47BC"/>
    <w:rsid w:val="003A4981"/>
    <w:rsid w:val="003A49C2"/>
    <w:rsid w:val="003A4A0E"/>
    <w:rsid w:val="003A4A58"/>
    <w:rsid w:val="003A4D49"/>
    <w:rsid w:val="003A4E4C"/>
    <w:rsid w:val="003A4F75"/>
    <w:rsid w:val="003A5098"/>
    <w:rsid w:val="003A526D"/>
    <w:rsid w:val="003A566A"/>
    <w:rsid w:val="003A5886"/>
    <w:rsid w:val="003A5952"/>
    <w:rsid w:val="003A5B89"/>
    <w:rsid w:val="003A5D87"/>
    <w:rsid w:val="003A5E2D"/>
    <w:rsid w:val="003A61B3"/>
    <w:rsid w:val="003A6389"/>
    <w:rsid w:val="003A64A8"/>
    <w:rsid w:val="003A65C1"/>
    <w:rsid w:val="003A66FA"/>
    <w:rsid w:val="003A67E0"/>
    <w:rsid w:val="003A6DA7"/>
    <w:rsid w:val="003A7304"/>
    <w:rsid w:val="003A74F1"/>
    <w:rsid w:val="003A7635"/>
    <w:rsid w:val="003A767D"/>
    <w:rsid w:val="003A79E7"/>
    <w:rsid w:val="003A7A2C"/>
    <w:rsid w:val="003A7CC8"/>
    <w:rsid w:val="003A7E78"/>
    <w:rsid w:val="003B08D4"/>
    <w:rsid w:val="003B0A48"/>
    <w:rsid w:val="003B0BAB"/>
    <w:rsid w:val="003B0BDD"/>
    <w:rsid w:val="003B1155"/>
    <w:rsid w:val="003B1301"/>
    <w:rsid w:val="003B159F"/>
    <w:rsid w:val="003B1746"/>
    <w:rsid w:val="003B1BC5"/>
    <w:rsid w:val="003B21C8"/>
    <w:rsid w:val="003B2432"/>
    <w:rsid w:val="003B24C3"/>
    <w:rsid w:val="003B2C30"/>
    <w:rsid w:val="003B2DAA"/>
    <w:rsid w:val="003B2F7D"/>
    <w:rsid w:val="003B30E9"/>
    <w:rsid w:val="003B319E"/>
    <w:rsid w:val="003B35A7"/>
    <w:rsid w:val="003B3A67"/>
    <w:rsid w:val="003B3C59"/>
    <w:rsid w:val="003B40A1"/>
    <w:rsid w:val="003B4459"/>
    <w:rsid w:val="003B4DED"/>
    <w:rsid w:val="003B51E6"/>
    <w:rsid w:val="003B5378"/>
    <w:rsid w:val="003B558B"/>
    <w:rsid w:val="003B5627"/>
    <w:rsid w:val="003B59BD"/>
    <w:rsid w:val="003B5BB3"/>
    <w:rsid w:val="003B5CFC"/>
    <w:rsid w:val="003B6062"/>
    <w:rsid w:val="003B6CFC"/>
    <w:rsid w:val="003B6F9A"/>
    <w:rsid w:val="003B7327"/>
    <w:rsid w:val="003B734B"/>
    <w:rsid w:val="003B7560"/>
    <w:rsid w:val="003B75DA"/>
    <w:rsid w:val="003B760F"/>
    <w:rsid w:val="003B7A49"/>
    <w:rsid w:val="003B7A91"/>
    <w:rsid w:val="003B7B85"/>
    <w:rsid w:val="003B7C0E"/>
    <w:rsid w:val="003B7D08"/>
    <w:rsid w:val="003B7FF3"/>
    <w:rsid w:val="003C08DF"/>
    <w:rsid w:val="003C0A29"/>
    <w:rsid w:val="003C0B15"/>
    <w:rsid w:val="003C0CAF"/>
    <w:rsid w:val="003C0D51"/>
    <w:rsid w:val="003C0D6C"/>
    <w:rsid w:val="003C11F2"/>
    <w:rsid w:val="003C12C5"/>
    <w:rsid w:val="003C18A8"/>
    <w:rsid w:val="003C22D1"/>
    <w:rsid w:val="003C26C9"/>
    <w:rsid w:val="003C3157"/>
    <w:rsid w:val="003C34FD"/>
    <w:rsid w:val="003C350F"/>
    <w:rsid w:val="003C35B3"/>
    <w:rsid w:val="003C35EF"/>
    <w:rsid w:val="003C3E5E"/>
    <w:rsid w:val="003C3F2B"/>
    <w:rsid w:val="003C4683"/>
    <w:rsid w:val="003C46FD"/>
    <w:rsid w:val="003C4848"/>
    <w:rsid w:val="003C49F1"/>
    <w:rsid w:val="003C4C01"/>
    <w:rsid w:val="003C4F89"/>
    <w:rsid w:val="003C5151"/>
    <w:rsid w:val="003C54F4"/>
    <w:rsid w:val="003C55F8"/>
    <w:rsid w:val="003C5D4E"/>
    <w:rsid w:val="003C6268"/>
    <w:rsid w:val="003C62B8"/>
    <w:rsid w:val="003C642D"/>
    <w:rsid w:val="003C64DA"/>
    <w:rsid w:val="003C68F5"/>
    <w:rsid w:val="003C69EB"/>
    <w:rsid w:val="003C73EE"/>
    <w:rsid w:val="003C7AA5"/>
    <w:rsid w:val="003D03E2"/>
    <w:rsid w:val="003D0421"/>
    <w:rsid w:val="003D05D2"/>
    <w:rsid w:val="003D0E4B"/>
    <w:rsid w:val="003D0E4E"/>
    <w:rsid w:val="003D0FFB"/>
    <w:rsid w:val="003D1038"/>
    <w:rsid w:val="003D1152"/>
    <w:rsid w:val="003D15FD"/>
    <w:rsid w:val="003D1898"/>
    <w:rsid w:val="003D1BFA"/>
    <w:rsid w:val="003D1CA0"/>
    <w:rsid w:val="003D1D0C"/>
    <w:rsid w:val="003D1DDD"/>
    <w:rsid w:val="003D2270"/>
    <w:rsid w:val="003D2485"/>
    <w:rsid w:val="003D2569"/>
    <w:rsid w:val="003D265C"/>
    <w:rsid w:val="003D2738"/>
    <w:rsid w:val="003D2933"/>
    <w:rsid w:val="003D29C5"/>
    <w:rsid w:val="003D2EDC"/>
    <w:rsid w:val="003D3158"/>
    <w:rsid w:val="003D3464"/>
    <w:rsid w:val="003D3521"/>
    <w:rsid w:val="003D37E3"/>
    <w:rsid w:val="003D3817"/>
    <w:rsid w:val="003D3D37"/>
    <w:rsid w:val="003D3F1E"/>
    <w:rsid w:val="003D4086"/>
    <w:rsid w:val="003D4769"/>
    <w:rsid w:val="003D47E8"/>
    <w:rsid w:val="003D4CF7"/>
    <w:rsid w:val="003D4F39"/>
    <w:rsid w:val="003D5338"/>
    <w:rsid w:val="003D566C"/>
    <w:rsid w:val="003D5C43"/>
    <w:rsid w:val="003D5DAA"/>
    <w:rsid w:val="003D5DFB"/>
    <w:rsid w:val="003D5FD4"/>
    <w:rsid w:val="003D6175"/>
    <w:rsid w:val="003D617D"/>
    <w:rsid w:val="003D6327"/>
    <w:rsid w:val="003D64C8"/>
    <w:rsid w:val="003D64E1"/>
    <w:rsid w:val="003D650D"/>
    <w:rsid w:val="003D663B"/>
    <w:rsid w:val="003D6ABC"/>
    <w:rsid w:val="003D6D82"/>
    <w:rsid w:val="003D712B"/>
    <w:rsid w:val="003D728A"/>
    <w:rsid w:val="003D7387"/>
    <w:rsid w:val="003D7630"/>
    <w:rsid w:val="003D766E"/>
    <w:rsid w:val="003D7ED8"/>
    <w:rsid w:val="003E00BB"/>
    <w:rsid w:val="003E02EA"/>
    <w:rsid w:val="003E0F8E"/>
    <w:rsid w:val="003E1297"/>
    <w:rsid w:val="003E131E"/>
    <w:rsid w:val="003E1493"/>
    <w:rsid w:val="003E1529"/>
    <w:rsid w:val="003E16B5"/>
    <w:rsid w:val="003E1F56"/>
    <w:rsid w:val="003E214F"/>
    <w:rsid w:val="003E2352"/>
    <w:rsid w:val="003E2740"/>
    <w:rsid w:val="003E2D05"/>
    <w:rsid w:val="003E3057"/>
    <w:rsid w:val="003E32BF"/>
    <w:rsid w:val="003E3405"/>
    <w:rsid w:val="003E344A"/>
    <w:rsid w:val="003E372C"/>
    <w:rsid w:val="003E37C9"/>
    <w:rsid w:val="003E3826"/>
    <w:rsid w:val="003E392E"/>
    <w:rsid w:val="003E3965"/>
    <w:rsid w:val="003E39AD"/>
    <w:rsid w:val="003E3A68"/>
    <w:rsid w:val="003E3DAD"/>
    <w:rsid w:val="003E3DBB"/>
    <w:rsid w:val="003E40EF"/>
    <w:rsid w:val="003E4657"/>
    <w:rsid w:val="003E46D8"/>
    <w:rsid w:val="003E481A"/>
    <w:rsid w:val="003E49CE"/>
    <w:rsid w:val="003E4ACE"/>
    <w:rsid w:val="003E5154"/>
    <w:rsid w:val="003E51C1"/>
    <w:rsid w:val="003E521E"/>
    <w:rsid w:val="003E52A3"/>
    <w:rsid w:val="003E5581"/>
    <w:rsid w:val="003E559D"/>
    <w:rsid w:val="003E55F8"/>
    <w:rsid w:val="003E5629"/>
    <w:rsid w:val="003E5769"/>
    <w:rsid w:val="003E5B24"/>
    <w:rsid w:val="003E5D26"/>
    <w:rsid w:val="003E5D9E"/>
    <w:rsid w:val="003E5EB1"/>
    <w:rsid w:val="003E6CC8"/>
    <w:rsid w:val="003E6FD3"/>
    <w:rsid w:val="003E72EE"/>
    <w:rsid w:val="003E7659"/>
    <w:rsid w:val="003E76EE"/>
    <w:rsid w:val="003E7A87"/>
    <w:rsid w:val="003E7BF8"/>
    <w:rsid w:val="003E7D64"/>
    <w:rsid w:val="003E7E26"/>
    <w:rsid w:val="003E7E6A"/>
    <w:rsid w:val="003F01A8"/>
    <w:rsid w:val="003F07E5"/>
    <w:rsid w:val="003F08F8"/>
    <w:rsid w:val="003F0DDC"/>
    <w:rsid w:val="003F0EE4"/>
    <w:rsid w:val="003F1130"/>
    <w:rsid w:val="003F14CC"/>
    <w:rsid w:val="003F1832"/>
    <w:rsid w:val="003F18B8"/>
    <w:rsid w:val="003F1B6D"/>
    <w:rsid w:val="003F2140"/>
    <w:rsid w:val="003F2199"/>
    <w:rsid w:val="003F247F"/>
    <w:rsid w:val="003F285A"/>
    <w:rsid w:val="003F2A74"/>
    <w:rsid w:val="003F2AB9"/>
    <w:rsid w:val="003F2B04"/>
    <w:rsid w:val="003F370E"/>
    <w:rsid w:val="003F382F"/>
    <w:rsid w:val="003F398D"/>
    <w:rsid w:val="003F3A36"/>
    <w:rsid w:val="003F3B32"/>
    <w:rsid w:val="003F3C3E"/>
    <w:rsid w:val="003F3E83"/>
    <w:rsid w:val="003F4643"/>
    <w:rsid w:val="003F4768"/>
    <w:rsid w:val="003F50A8"/>
    <w:rsid w:val="003F50E5"/>
    <w:rsid w:val="003F549B"/>
    <w:rsid w:val="003F5711"/>
    <w:rsid w:val="003F595F"/>
    <w:rsid w:val="003F5B00"/>
    <w:rsid w:val="003F60F2"/>
    <w:rsid w:val="003F6525"/>
    <w:rsid w:val="003F658D"/>
    <w:rsid w:val="003F693C"/>
    <w:rsid w:val="003F6ABA"/>
    <w:rsid w:val="003F7287"/>
    <w:rsid w:val="003F7369"/>
    <w:rsid w:val="003F7856"/>
    <w:rsid w:val="003F7885"/>
    <w:rsid w:val="003F793F"/>
    <w:rsid w:val="003F7BE6"/>
    <w:rsid w:val="00400807"/>
    <w:rsid w:val="00400931"/>
    <w:rsid w:val="00400F7A"/>
    <w:rsid w:val="00400FC6"/>
    <w:rsid w:val="00400FD6"/>
    <w:rsid w:val="00400FFC"/>
    <w:rsid w:val="00401124"/>
    <w:rsid w:val="0040159E"/>
    <w:rsid w:val="00401687"/>
    <w:rsid w:val="00401B0D"/>
    <w:rsid w:val="00401BB8"/>
    <w:rsid w:val="00401EF0"/>
    <w:rsid w:val="00402112"/>
    <w:rsid w:val="00402147"/>
    <w:rsid w:val="00402E43"/>
    <w:rsid w:val="00402FD8"/>
    <w:rsid w:val="0040310A"/>
    <w:rsid w:val="0040324D"/>
    <w:rsid w:val="004035D1"/>
    <w:rsid w:val="004037A1"/>
    <w:rsid w:val="004040B0"/>
    <w:rsid w:val="0040465B"/>
    <w:rsid w:val="004046F7"/>
    <w:rsid w:val="00404804"/>
    <w:rsid w:val="00404926"/>
    <w:rsid w:val="00405133"/>
    <w:rsid w:val="00405186"/>
    <w:rsid w:val="0040518D"/>
    <w:rsid w:val="00405620"/>
    <w:rsid w:val="00405859"/>
    <w:rsid w:val="00405871"/>
    <w:rsid w:val="004058B2"/>
    <w:rsid w:val="004059A1"/>
    <w:rsid w:val="004059A6"/>
    <w:rsid w:val="00405A5E"/>
    <w:rsid w:val="00405CCD"/>
    <w:rsid w:val="00405CFE"/>
    <w:rsid w:val="00405DF0"/>
    <w:rsid w:val="00405E9C"/>
    <w:rsid w:val="00405F87"/>
    <w:rsid w:val="00405FFA"/>
    <w:rsid w:val="00406352"/>
    <w:rsid w:val="00406AF4"/>
    <w:rsid w:val="00406B83"/>
    <w:rsid w:val="00406C57"/>
    <w:rsid w:val="00406CB9"/>
    <w:rsid w:val="00406F6D"/>
    <w:rsid w:val="00406FD6"/>
    <w:rsid w:val="0040741B"/>
    <w:rsid w:val="0040758E"/>
    <w:rsid w:val="0040763C"/>
    <w:rsid w:val="0040786D"/>
    <w:rsid w:val="004078D1"/>
    <w:rsid w:val="00407975"/>
    <w:rsid w:val="004102D1"/>
    <w:rsid w:val="00410414"/>
    <w:rsid w:val="0041072E"/>
    <w:rsid w:val="004108FB"/>
    <w:rsid w:val="004109E7"/>
    <w:rsid w:val="00410A99"/>
    <w:rsid w:val="00410B0C"/>
    <w:rsid w:val="00410C98"/>
    <w:rsid w:val="00411545"/>
    <w:rsid w:val="004117E2"/>
    <w:rsid w:val="0041186F"/>
    <w:rsid w:val="00411BE0"/>
    <w:rsid w:val="00411CF1"/>
    <w:rsid w:val="00411F09"/>
    <w:rsid w:val="00411F19"/>
    <w:rsid w:val="00411F57"/>
    <w:rsid w:val="00411FAE"/>
    <w:rsid w:val="00411FCD"/>
    <w:rsid w:val="004124FF"/>
    <w:rsid w:val="0041280E"/>
    <w:rsid w:val="00412906"/>
    <w:rsid w:val="00412E66"/>
    <w:rsid w:val="00412FDB"/>
    <w:rsid w:val="0041349D"/>
    <w:rsid w:val="00413594"/>
    <w:rsid w:val="0041364A"/>
    <w:rsid w:val="00413812"/>
    <w:rsid w:val="004138D3"/>
    <w:rsid w:val="00413A8A"/>
    <w:rsid w:val="00413C23"/>
    <w:rsid w:val="00413C6B"/>
    <w:rsid w:val="00413E51"/>
    <w:rsid w:val="0041403C"/>
    <w:rsid w:val="00414230"/>
    <w:rsid w:val="004144F2"/>
    <w:rsid w:val="00414545"/>
    <w:rsid w:val="0041459B"/>
    <w:rsid w:val="004146B5"/>
    <w:rsid w:val="00414782"/>
    <w:rsid w:val="00414DB2"/>
    <w:rsid w:val="00414DC8"/>
    <w:rsid w:val="00414F58"/>
    <w:rsid w:val="004152A7"/>
    <w:rsid w:val="00415331"/>
    <w:rsid w:val="0041572E"/>
    <w:rsid w:val="00415973"/>
    <w:rsid w:val="00415AA9"/>
    <w:rsid w:val="00415EAF"/>
    <w:rsid w:val="0041603E"/>
    <w:rsid w:val="00416723"/>
    <w:rsid w:val="004168F2"/>
    <w:rsid w:val="00416A06"/>
    <w:rsid w:val="00416A7E"/>
    <w:rsid w:val="00416D1C"/>
    <w:rsid w:val="00416E2E"/>
    <w:rsid w:val="0041703D"/>
    <w:rsid w:val="00417067"/>
    <w:rsid w:val="00417098"/>
    <w:rsid w:val="00417203"/>
    <w:rsid w:val="00417228"/>
    <w:rsid w:val="00417250"/>
    <w:rsid w:val="004177BF"/>
    <w:rsid w:val="00417962"/>
    <w:rsid w:val="00417973"/>
    <w:rsid w:val="00417FA7"/>
    <w:rsid w:val="00420407"/>
    <w:rsid w:val="004204E8"/>
    <w:rsid w:val="004207AF"/>
    <w:rsid w:val="00420B0A"/>
    <w:rsid w:val="00420F3A"/>
    <w:rsid w:val="00421027"/>
    <w:rsid w:val="00421ACE"/>
    <w:rsid w:val="00422005"/>
    <w:rsid w:val="00422077"/>
    <w:rsid w:val="0042208C"/>
    <w:rsid w:val="00422203"/>
    <w:rsid w:val="0042232D"/>
    <w:rsid w:val="00422399"/>
    <w:rsid w:val="004224E0"/>
    <w:rsid w:val="00422981"/>
    <w:rsid w:val="00422994"/>
    <w:rsid w:val="00423199"/>
    <w:rsid w:val="00423204"/>
    <w:rsid w:val="00423257"/>
    <w:rsid w:val="0042387C"/>
    <w:rsid w:val="00423978"/>
    <w:rsid w:val="00423DCF"/>
    <w:rsid w:val="00423FE2"/>
    <w:rsid w:val="00424070"/>
    <w:rsid w:val="0042408C"/>
    <w:rsid w:val="004247B2"/>
    <w:rsid w:val="00424BE5"/>
    <w:rsid w:val="00424F0D"/>
    <w:rsid w:val="00425028"/>
    <w:rsid w:val="004254BC"/>
    <w:rsid w:val="00425AB0"/>
    <w:rsid w:val="00425B8F"/>
    <w:rsid w:val="00426093"/>
    <w:rsid w:val="00426109"/>
    <w:rsid w:val="00426531"/>
    <w:rsid w:val="00426DA1"/>
    <w:rsid w:val="00426E5F"/>
    <w:rsid w:val="00426FCF"/>
    <w:rsid w:val="0042719A"/>
    <w:rsid w:val="0042777D"/>
    <w:rsid w:val="004279C0"/>
    <w:rsid w:val="00427AB6"/>
    <w:rsid w:val="00427BD9"/>
    <w:rsid w:val="004300ED"/>
    <w:rsid w:val="0043043F"/>
    <w:rsid w:val="004305D9"/>
    <w:rsid w:val="00430C5F"/>
    <w:rsid w:val="00430D7D"/>
    <w:rsid w:val="00431426"/>
    <w:rsid w:val="00431562"/>
    <w:rsid w:val="00431639"/>
    <w:rsid w:val="00431B0C"/>
    <w:rsid w:val="00431C3A"/>
    <w:rsid w:val="00431DDB"/>
    <w:rsid w:val="00431F2D"/>
    <w:rsid w:val="00432121"/>
    <w:rsid w:val="004324EB"/>
    <w:rsid w:val="004326D9"/>
    <w:rsid w:val="0043291B"/>
    <w:rsid w:val="0043339D"/>
    <w:rsid w:val="0043356A"/>
    <w:rsid w:val="0043365A"/>
    <w:rsid w:val="004337B8"/>
    <w:rsid w:val="00433B53"/>
    <w:rsid w:val="00433F90"/>
    <w:rsid w:val="00434183"/>
    <w:rsid w:val="00434700"/>
    <w:rsid w:val="0043506F"/>
    <w:rsid w:val="0043517A"/>
    <w:rsid w:val="00435207"/>
    <w:rsid w:val="00435A12"/>
    <w:rsid w:val="00435BE2"/>
    <w:rsid w:val="00435DD1"/>
    <w:rsid w:val="00435F83"/>
    <w:rsid w:val="00435FE0"/>
    <w:rsid w:val="0043601B"/>
    <w:rsid w:val="00436117"/>
    <w:rsid w:val="0043624E"/>
    <w:rsid w:val="004364FF"/>
    <w:rsid w:val="004365C7"/>
    <w:rsid w:val="00436630"/>
    <w:rsid w:val="004368EA"/>
    <w:rsid w:val="00436BA1"/>
    <w:rsid w:val="00436EDE"/>
    <w:rsid w:val="00436F1A"/>
    <w:rsid w:val="00437159"/>
    <w:rsid w:val="00437361"/>
    <w:rsid w:val="00437433"/>
    <w:rsid w:val="0043743A"/>
    <w:rsid w:val="004377CB"/>
    <w:rsid w:val="00437AAE"/>
    <w:rsid w:val="00437B53"/>
    <w:rsid w:val="00437C02"/>
    <w:rsid w:val="00437C38"/>
    <w:rsid w:val="004402C3"/>
    <w:rsid w:val="004403B3"/>
    <w:rsid w:val="004404C0"/>
    <w:rsid w:val="00440538"/>
    <w:rsid w:val="0044092D"/>
    <w:rsid w:val="00440D4F"/>
    <w:rsid w:val="00440F2C"/>
    <w:rsid w:val="004410E2"/>
    <w:rsid w:val="004412B1"/>
    <w:rsid w:val="00441416"/>
    <w:rsid w:val="00441565"/>
    <w:rsid w:val="0044197D"/>
    <w:rsid w:val="004419D7"/>
    <w:rsid w:val="00441B64"/>
    <w:rsid w:val="00441C75"/>
    <w:rsid w:val="00441E02"/>
    <w:rsid w:val="004421DF"/>
    <w:rsid w:val="0044247E"/>
    <w:rsid w:val="004424C9"/>
    <w:rsid w:val="00442741"/>
    <w:rsid w:val="00442A95"/>
    <w:rsid w:val="00442C26"/>
    <w:rsid w:val="00442EF8"/>
    <w:rsid w:val="00443128"/>
    <w:rsid w:val="00443270"/>
    <w:rsid w:val="004433A9"/>
    <w:rsid w:val="00443852"/>
    <w:rsid w:val="00443BB1"/>
    <w:rsid w:val="004440AB"/>
    <w:rsid w:val="00444445"/>
    <w:rsid w:val="0044494F"/>
    <w:rsid w:val="00445015"/>
    <w:rsid w:val="004452DC"/>
    <w:rsid w:val="004452F6"/>
    <w:rsid w:val="00445537"/>
    <w:rsid w:val="004456AB"/>
    <w:rsid w:val="00445B37"/>
    <w:rsid w:val="00445C4B"/>
    <w:rsid w:val="00445ED5"/>
    <w:rsid w:val="00446018"/>
    <w:rsid w:val="0044611E"/>
    <w:rsid w:val="004468A4"/>
    <w:rsid w:val="00446A64"/>
    <w:rsid w:val="00446B03"/>
    <w:rsid w:val="00446EBE"/>
    <w:rsid w:val="00446F3F"/>
    <w:rsid w:val="0044742A"/>
    <w:rsid w:val="00447430"/>
    <w:rsid w:val="00447437"/>
    <w:rsid w:val="004477CD"/>
    <w:rsid w:val="00447D67"/>
    <w:rsid w:val="00447F08"/>
    <w:rsid w:val="00450142"/>
    <w:rsid w:val="004501F6"/>
    <w:rsid w:val="004502D7"/>
    <w:rsid w:val="00450333"/>
    <w:rsid w:val="00450495"/>
    <w:rsid w:val="00450AE0"/>
    <w:rsid w:val="00450D86"/>
    <w:rsid w:val="00450F9A"/>
    <w:rsid w:val="004510C4"/>
    <w:rsid w:val="00451357"/>
    <w:rsid w:val="004515B7"/>
    <w:rsid w:val="004518E2"/>
    <w:rsid w:val="00451968"/>
    <w:rsid w:val="0045262F"/>
    <w:rsid w:val="0045277E"/>
    <w:rsid w:val="00452A98"/>
    <w:rsid w:val="00452BDA"/>
    <w:rsid w:val="00452C1E"/>
    <w:rsid w:val="00452FC0"/>
    <w:rsid w:val="00453174"/>
    <w:rsid w:val="004532F0"/>
    <w:rsid w:val="00453750"/>
    <w:rsid w:val="004537CF"/>
    <w:rsid w:val="004539FC"/>
    <w:rsid w:val="00453AE2"/>
    <w:rsid w:val="00453BE3"/>
    <w:rsid w:val="0045428B"/>
    <w:rsid w:val="0045446A"/>
    <w:rsid w:val="00454577"/>
    <w:rsid w:val="0045461E"/>
    <w:rsid w:val="004546E5"/>
    <w:rsid w:val="00454B2F"/>
    <w:rsid w:val="00454D4A"/>
    <w:rsid w:val="00454F48"/>
    <w:rsid w:val="00455105"/>
    <w:rsid w:val="004551BC"/>
    <w:rsid w:val="004554B7"/>
    <w:rsid w:val="004554E0"/>
    <w:rsid w:val="004560EA"/>
    <w:rsid w:val="004563D8"/>
    <w:rsid w:val="00456792"/>
    <w:rsid w:val="004568DF"/>
    <w:rsid w:val="00456A4F"/>
    <w:rsid w:val="00456D72"/>
    <w:rsid w:val="00456EBC"/>
    <w:rsid w:val="00456F48"/>
    <w:rsid w:val="004574B4"/>
    <w:rsid w:val="004575AB"/>
    <w:rsid w:val="004575FB"/>
    <w:rsid w:val="0045762E"/>
    <w:rsid w:val="00457C34"/>
    <w:rsid w:val="004600F8"/>
    <w:rsid w:val="00460AC3"/>
    <w:rsid w:val="00460B1A"/>
    <w:rsid w:val="00460B5A"/>
    <w:rsid w:val="00460C28"/>
    <w:rsid w:val="004610F2"/>
    <w:rsid w:val="00461626"/>
    <w:rsid w:val="004616E2"/>
    <w:rsid w:val="004617B7"/>
    <w:rsid w:val="00461831"/>
    <w:rsid w:val="0046195A"/>
    <w:rsid w:val="00461BC2"/>
    <w:rsid w:val="00461DA0"/>
    <w:rsid w:val="0046234D"/>
    <w:rsid w:val="00462371"/>
    <w:rsid w:val="004627EB"/>
    <w:rsid w:val="00462A81"/>
    <w:rsid w:val="00462AF2"/>
    <w:rsid w:val="00462C24"/>
    <w:rsid w:val="00462E8F"/>
    <w:rsid w:val="004630F4"/>
    <w:rsid w:val="004637C1"/>
    <w:rsid w:val="00463827"/>
    <w:rsid w:val="004638DA"/>
    <w:rsid w:val="004638F5"/>
    <w:rsid w:val="00463963"/>
    <w:rsid w:val="00463BE3"/>
    <w:rsid w:val="00464136"/>
    <w:rsid w:val="004644A3"/>
    <w:rsid w:val="00464530"/>
    <w:rsid w:val="004648BC"/>
    <w:rsid w:val="00464CAF"/>
    <w:rsid w:val="00464CC8"/>
    <w:rsid w:val="00464FA2"/>
    <w:rsid w:val="00465124"/>
    <w:rsid w:val="004651C1"/>
    <w:rsid w:val="00465305"/>
    <w:rsid w:val="00465447"/>
    <w:rsid w:val="00465C06"/>
    <w:rsid w:val="00465E29"/>
    <w:rsid w:val="0046633C"/>
    <w:rsid w:val="004668B2"/>
    <w:rsid w:val="00466A67"/>
    <w:rsid w:val="0046700B"/>
    <w:rsid w:val="00467182"/>
    <w:rsid w:val="00467A57"/>
    <w:rsid w:val="00470041"/>
    <w:rsid w:val="0047048A"/>
    <w:rsid w:val="004704D4"/>
    <w:rsid w:val="00470AD5"/>
    <w:rsid w:val="00470D03"/>
    <w:rsid w:val="0047107E"/>
    <w:rsid w:val="00471446"/>
    <w:rsid w:val="004718BC"/>
    <w:rsid w:val="00471A0B"/>
    <w:rsid w:val="00471B07"/>
    <w:rsid w:val="00471F7A"/>
    <w:rsid w:val="00471FD5"/>
    <w:rsid w:val="00472051"/>
    <w:rsid w:val="004720F7"/>
    <w:rsid w:val="00472573"/>
    <w:rsid w:val="00472E37"/>
    <w:rsid w:val="00473053"/>
    <w:rsid w:val="004731E3"/>
    <w:rsid w:val="004731E4"/>
    <w:rsid w:val="004734C9"/>
    <w:rsid w:val="00473730"/>
    <w:rsid w:val="0047374E"/>
    <w:rsid w:val="00473A01"/>
    <w:rsid w:val="00473C2E"/>
    <w:rsid w:val="00473E05"/>
    <w:rsid w:val="004747E1"/>
    <w:rsid w:val="004749CC"/>
    <w:rsid w:val="00474B85"/>
    <w:rsid w:val="00474BF7"/>
    <w:rsid w:val="00474EE8"/>
    <w:rsid w:val="00474EF4"/>
    <w:rsid w:val="0047500A"/>
    <w:rsid w:val="00475154"/>
    <w:rsid w:val="004751C2"/>
    <w:rsid w:val="004753E7"/>
    <w:rsid w:val="0047560F"/>
    <w:rsid w:val="00475A68"/>
    <w:rsid w:val="004762AB"/>
    <w:rsid w:val="00476842"/>
    <w:rsid w:val="004769FD"/>
    <w:rsid w:val="00476B38"/>
    <w:rsid w:val="00476FCA"/>
    <w:rsid w:val="00476FF6"/>
    <w:rsid w:val="00477118"/>
    <w:rsid w:val="004772F0"/>
    <w:rsid w:val="004774F1"/>
    <w:rsid w:val="00477AC9"/>
    <w:rsid w:val="00477BBD"/>
    <w:rsid w:val="00477E83"/>
    <w:rsid w:val="00477FE3"/>
    <w:rsid w:val="004800AE"/>
    <w:rsid w:val="004800BF"/>
    <w:rsid w:val="004800FB"/>
    <w:rsid w:val="0048023F"/>
    <w:rsid w:val="00480358"/>
    <w:rsid w:val="00480584"/>
    <w:rsid w:val="00480C5F"/>
    <w:rsid w:val="00480CA1"/>
    <w:rsid w:val="00480CFA"/>
    <w:rsid w:val="004812D2"/>
    <w:rsid w:val="004819F0"/>
    <w:rsid w:val="004820C4"/>
    <w:rsid w:val="004825B2"/>
    <w:rsid w:val="00482B81"/>
    <w:rsid w:val="00482BFB"/>
    <w:rsid w:val="00482F1E"/>
    <w:rsid w:val="00483113"/>
    <w:rsid w:val="00483191"/>
    <w:rsid w:val="0048324B"/>
    <w:rsid w:val="004834CD"/>
    <w:rsid w:val="00483577"/>
    <w:rsid w:val="004835E4"/>
    <w:rsid w:val="00483A6D"/>
    <w:rsid w:val="00484225"/>
    <w:rsid w:val="00484486"/>
    <w:rsid w:val="00484771"/>
    <w:rsid w:val="00484A89"/>
    <w:rsid w:val="00484CA6"/>
    <w:rsid w:val="00484FD7"/>
    <w:rsid w:val="004853E5"/>
    <w:rsid w:val="00486046"/>
    <w:rsid w:val="00486560"/>
    <w:rsid w:val="004868E8"/>
    <w:rsid w:val="00486A49"/>
    <w:rsid w:val="00486A89"/>
    <w:rsid w:val="00486ADD"/>
    <w:rsid w:val="00487386"/>
    <w:rsid w:val="004875C4"/>
    <w:rsid w:val="00487BA4"/>
    <w:rsid w:val="00490111"/>
    <w:rsid w:val="004901F8"/>
    <w:rsid w:val="0049099D"/>
    <w:rsid w:val="00490E57"/>
    <w:rsid w:val="00490F1C"/>
    <w:rsid w:val="00490F34"/>
    <w:rsid w:val="004913A8"/>
    <w:rsid w:val="00491985"/>
    <w:rsid w:val="00491A4D"/>
    <w:rsid w:val="00491DB8"/>
    <w:rsid w:val="004921C7"/>
    <w:rsid w:val="00492C71"/>
    <w:rsid w:val="004932C7"/>
    <w:rsid w:val="0049333C"/>
    <w:rsid w:val="004933D5"/>
    <w:rsid w:val="00493452"/>
    <w:rsid w:val="00493590"/>
    <w:rsid w:val="004935A9"/>
    <w:rsid w:val="00493B57"/>
    <w:rsid w:val="00493EB7"/>
    <w:rsid w:val="0049405E"/>
    <w:rsid w:val="00494655"/>
    <w:rsid w:val="00494AC5"/>
    <w:rsid w:val="00495118"/>
    <w:rsid w:val="004953FE"/>
    <w:rsid w:val="00495917"/>
    <w:rsid w:val="00495F8B"/>
    <w:rsid w:val="0049606A"/>
    <w:rsid w:val="0049615F"/>
    <w:rsid w:val="00496455"/>
    <w:rsid w:val="004965DB"/>
    <w:rsid w:val="00496740"/>
    <w:rsid w:val="004969A9"/>
    <w:rsid w:val="00496DCE"/>
    <w:rsid w:val="00497076"/>
    <w:rsid w:val="00497481"/>
    <w:rsid w:val="0049780D"/>
    <w:rsid w:val="00497D63"/>
    <w:rsid w:val="004A00BC"/>
    <w:rsid w:val="004A0197"/>
    <w:rsid w:val="004A03D9"/>
    <w:rsid w:val="004A03FA"/>
    <w:rsid w:val="004A057E"/>
    <w:rsid w:val="004A0634"/>
    <w:rsid w:val="004A0D7F"/>
    <w:rsid w:val="004A0DF4"/>
    <w:rsid w:val="004A0EF9"/>
    <w:rsid w:val="004A0F5D"/>
    <w:rsid w:val="004A1133"/>
    <w:rsid w:val="004A13AC"/>
    <w:rsid w:val="004A13DE"/>
    <w:rsid w:val="004A17BC"/>
    <w:rsid w:val="004A1DE1"/>
    <w:rsid w:val="004A1E69"/>
    <w:rsid w:val="004A2045"/>
    <w:rsid w:val="004A20C6"/>
    <w:rsid w:val="004A22CC"/>
    <w:rsid w:val="004A2334"/>
    <w:rsid w:val="004A2354"/>
    <w:rsid w:val="004A247C"/>
    <w:rsid w:val="004A24A1"/>
    <w:rsid w:val="004A25C7"/>
    <w:rsid w:val="004A2CBF"/>
    <w:rsid w:val="004A2F6B"/>
    <w:rsid w:val="004A3117"/>
    <w:rsid w:val="004A3199"/>
    <w:rsid w:val="004A382F"/>
    <w:rsid w:val="004A3C16"/>
    <w:rsid w:val="004A4187"/>
    <w:rsid w:val="004A4313"/>
    <w:rsid w:val="004A4449"/>
    <w:rsid w:val="004A460F"/>
    <w:rsid w:val="004A4813"/>
    <w:rsid w:val="004A48B2"/>
    <w:rsid w:val="004A4DA8"/>
    <w:rsid w:val="004A4DE1"/>
    <w:rsid w:val="004A5CDD"/>
    <w:rsid w:val="004A62A0"/>
    <w:rsid w:val="004A68EB"/>
    <w:rsid w:val="004A6F98"/>
    <w:rsid w:val="004A7336"/>
    <w:rsid w:val="004A7749"/>
    <w:rsid w:val="004A788E"/>
    <w:rsid w:val="004A78A2"/>
    <w:rsid w:val="004A7FB0"/>
    <w:rsid w:val="004B030C"/>
    <w:rsid w:val="004B03E6"/>
    <w:rsid w:val="004B06F1"/>
    <w:rsid w:val="004B0D04"/>
    <w:rsid w:val="004B0E52"/>
    <w:rsid w:val="004B0E77"/>
    <w:rsid w:val="004B107F"/>
    <w:rsid w:val="004B1273"/>
    <w:rsid w:val="004B1294"/>
    <w:rsid w:val="004B146E"/>
    <w:rsid w:val="004B150C"/>
    <w:rsid w:val="004B1551"/>
    <w:rsid w:val="004B1C19"/>
    <w:rsid w:val="004B1F2B"/>
    <w:rsid w:val="004B23FA"/>
    <w:rsid w:val="004B2A85"/>
    <w:rsid w:val="004B2A8B"/>
    <w:rsid w:val="004B2AD8"/>
    <w:rsid w:val="004B2E54"/>
    <w:rsid w:val="004B3166"/>
    <w:rsid w:val="004B322F"/>
    <w:rsid w:val="004B33AB"/>
    <w:rsid w:val="004B3480"/>
    <w:rsid w:val="004B348B"/>
    <w:rsid w:val="004B356F"/>
    <w:rsid w:val="004B3644"/>
    <w:rsid w:val="004B3686"/>
    <w:rsid w:val="004B378F"/>
    <w:rsid w:val="004B3AEB"/>
    <w:rsid w:val="004B3D05"/>
    <w:rsid w:val="004B3D84"/>
    <w:rsid w:val="004B3D98"/>
    <w:rsid w:val="004B3E7C"/>
    <w:rsid w:val="004B4012"/>
    <w:rsid w:val="004B4043"/>
    <w:rsid w:val="004B469B"/>
    <w:rsid w:val="004B4BD8"/>
    <w:rsid w:val="004B4E44"/>
    <w:rsid w:val="004B4F68"/>
    <w:rsid w:val="004B506E"/>
    <w:rsid w:val="004B519C"/>
    <w:rsid w:val="004B51ED"/>
    <w:rsid w:val="004B53D6"/>
    <w:rsid w:val="004B5447"/>
    <w:rsid w:val="004B5494"/>
    <w:rsid w:val="004B5499"/>
    <w:rsid w:val="004B5611"/>
    <w:rsid w:val="004B57C8"/>
    <w:rsid w:val="004B5A5C"/>
    <w:rsid w:val="004B5C16"/>
    <w:rsid w:val="004B5D68"/>
    <w:rsid w:val="004B60C7"/>
    <w:rsid w:val="004B6281"/>
    <w:rsid w:val="004B64C2"/>
    <w:rsid w:val="004B6840"/>
    <w:rsid w:val="004B6A20"/>
    <w:rsid w:val="004B6CD7"/>
    <w:rsid w:val="004B727D"/>
    <w:rsid w:val="004B757D"/>
    <w:rsid w:val="004B75DA"/>
    <w:rsid w:val="004B7B0D"/>
    <w:rsid w:val="004B7B37"/>
    <w:rsid w:val="004B7F10"/>
    <w:rsid w:val="004B7F9D"/>
    <w:rsid w:val="004C0109"/>
    <w:rsid w:val="004C03B8"/>
    <w:rsid w:val="004C08DF"/>
    <w:rsid w:val="004C0934"/>
    <w:rsid w:val="004C09EC"/>
    <w:rsid w:val="004C0A67"/>
    <w:rsid w:val="004C0B48"/>
    <w:rsid w:val="004C0D3B"/>
    <w:rsid w:val="004C1502"/>
    <w:rsid w:val="004C1671"/>
    <w:rsid w:val="004C17B7"/>
    <w:rsid w:val="004C1ED6"/>
    <w:rsid w:val="004C1F0A"/>
    <w:rsid w:val="004C1FAB"/>
    <w:rsid w:val="004C231F"/>
    <w:rsid w:val="004C2550"/>
    <w:rsid w:val="004C26C9"/>
    <w:rsid w:val="004C27BC"/>
    <w:rsid w:val="004C2956"/>
    <w:rsid w:val="004C2967"/>
    <w:rsid w:val="004C29BE"/>
    <w:rsid w:val="004C2E43"/>
    <w:rsid w:val="004C2EAB"/>
    <w:rsid w:val="004C2FEF"/>
    <w:rsid w:val="004C315F"/>
    <w:rsid w:val="004C33B3"/>
    <w:rsid w:val="004C3873"/>
    <w:rsid w:val="004C3BA5"/>
    <w:rsid w:val="004C3E32"/>
    <w:rsid w:val="004C4172"/>
    <w:rsid w:val="004C43A3"/>
    <w:rsid w:val="004C4563"/>
    <w:rsid w:val="004C472C"/>
    <w:rsid w:val="004C472F"/>
    <w:rsid w:val="004C4B5E"/>
    <w:rsid w:val="004C4E36"/>
    <w:rsid w:val="004C4EE6"/>
    <w:rsid w:val="004C50A6"/>
    <w:rsid w:val="004C50D0"/>
    <w:rsid w:val="004C552B"/>
    <w:rsid w:val="004C55F7"/>
    <w:rsid w:val="004C567D"/>
    <w:rsid w:val="004C56F7"/>
    <w:rsid w:val="004C57CF"/>
    <w:rsid w:val="004C5AD1"/>
    <w:rsid w:val="004C5BE8"/>
    <w:rsid w:val="004C5C5B"/>
    <w:rsid w:val="004C5D91"/>
    <w:rsid w:val="004C6021"/>
    <w:rsid w:val="004C60E7"/>
    <w:rsid w:val="004C61B7"/>
    <w:rsid w:val="004C64EF"/>
    <w:rsid w:val="004C6BD9"/>
    <w:rsid w:val="004C6EC2"/>
    <w:rsid w:val="004C6F87"/>
    <w:rsid w:val="004C71AC"/>
    <w:rsid w:val="004C744A"/>
    <w:rsid w:val="004C7575"/>
    <w:rsid w:val="004C767B"/>
    <w:rsid w:val="004C76EA"/>
    <w:rsid w:val="004C77E0"/>
    <w:rsid w:val="004C7CDD"/>
    <w:rsid w:val="004C7D2D"/>
    <w:rsid w:val="004C7DE4"/>
    <w:rsid w:val="004D046B"/>
    <w:rsid w:val="004D04AF"/>
    <w:rsid w:val="004D0825"/>
    <w:rsid w:val="004D0F41"/>
    <w:rsid w:val="004D11F7"/>
    <w:rsid w:val="004D13C5"/>
    <w:rsid w:val="004D1543"/>
    <w:rsid w:val="004D1562"/>
    <w:rsid w:val="004D1586"/>
    <w:rsid w:val="004D1595"/>
    <w:rsid w:val="004D16A5"/>
    <w:rsid w:val="004D16C0"/>
    <w:rsid w:val="004D19BA"/>
    <w:rsid w:val="004D1A4E"/>
    <w:rsid w:val="004D1E5A"/>
    <w:rsid w:val="004D215F"/>
    <w:rsid w:val="004D218E"/>
    <w:rsid w:val="004D22C9"/>
    <w:rsid w:val="004D23C2"/>
    <w:rsid w:val="004D253C"/>
    <w:rsid w:val="004D27A6"/>
    <w:rsid w:val="004D27B3"/>
    <w:rsid w:val="004D29FA"/>
    <w:rsid w:val="004D2CD8"/>
    <w:rsid w:val="004D31EC"/>
    <w:rsid w:val="004D3644"/>
    <w:rsid w:val="004D3A35"/>
    <w:rsid w:val="004D3B51"/>
    <w:rsid w:val="004D437D"/>
    <w:rsid w:val="004D4560"/>
    <w:rsid w:val="004D4AD6"/>
    <w:rsid w:val="004D4D79"/>
    <w:rsid w:val="004D4FD5"/>
    <w:rsid w:val="004D504E"/>
    <w:rsid w:val="004D53F2"/>
    <w:rsid w:val="004D5415"/>
    <w:rsid w:val="004D549B"/>
    <w:rsid w:val="004D54A5"/>
    <w:rsid w:val="004D57BF"/>
    <w:rsid w:val="004D5B41"/>
    <w:rsid w:val="004D5BD1"/>
    <w:rsid w:val="004D5C17"/>
    <w:rsid w:val="004D5E7C"/>
    <w:rsid w:val="004D6012"/>
    <w:rsid w:val="004D61BD"/>
    <w:rsid w:val="004D61D5"/>
    <w:rsid w:val="004D637F"/>
    <w:rsid w:val="004D6538"/>
    <w:rsid w:val="004D6DA5"/>
    <w:rsid w:val="004D79EE"/>
    <w:rsid w:val="004D7B14"/>
    <w:rsid w:val="004D7B25"/>
    <w:rsid w:val="004D7DC7"/>
    <w:rsid w:val="004E01AE"/>
    <w:rsid w:val="004E02E5"/>
    <w:rsid w:val="004E04EE"/>
    <w:rsid w:val="004E0559"/>
    <w:rsid w:val="004E05A5"/>
    <w:rsid w:val="004E065F"/>
    <w:rsid w:val="004E0C62"/>
    <w:rsid w:val="004E0D92"/>
    <w:rsid w:val="004E13D9"/>
    <w:rsid w:val="004E17FD"/>
    <w:rsid w:val="004E1855"/>
    <w:rsid w:val="004E22D5"/>
    <w:rsid w:val="004E36A2"/>
    <w:rsid w:val="004E3A8F"/>
    <w:rsid w:val="004E3C56"/>
    <w:rsid w:val="004E3FF2"/>
    <w:rsid w:val="004E40CA"/>
    <w:rsid w:val="004E4742"/>
    <w:rsid w:val="004E5242"/>
    <w:rsid w:val="004E546A"/>
    <w:rsid w:val="004E5811"/>
    <w:rsid w:val="004E59E2"/>
    <w:rsid w:val="004E6043"/>
    <w:rsid w:val="004E6372"/>
    <w:rsid w:val="004E6421"/>
    <w:rsid w:val="004E652F"/>
    <w:rsid w:val="004E6655"/>
    <w:rsid w:val="004E666A"/>
    <w:rsid w:val="004E681F"/>
    <w:rsid w:val="004E6824"/>
    <w:rsid w:val="004E687F"/>
    <w:rsid w:val="004E6DE1"/>
    <w:rsid w:val="004E6FE4"/>
    <w:rsid w:val="004E719A"/>
    <w:rsid w:val="004E7242"/>
    <w:rsid w:val="004E758D"/>
    <w:rsid w:val="004E76D6"/>
    <w:rsid w:val="004E77C3"/>
    <w:rsid w:val="004E77DD"/>
    <w:rsid w:val="004E7886"/>
    <w:rsid w:val="004E7B1D"/>
    <w:rsid w:val="004F0372"/>
    <w:rsid w:val="004F077B"/>
    <w:rsid w:val="004F0B77"/>
    <w:rsid w:val="004F0CC8"/>
    <w:rsid w:val="004F120C"/>
    <w:rsid w:val="004F130C"/>
    <w:rsid w:val="004F130D"/>
    <w:rsid w:val="004F13E0"/>
    <w:rsid w:val="004F152E"/>
    <w:rsid w:val="004F1717"/>
    <w:rsid w:val="004F1E2D"/>
    <w:rsid w:val="004F1FAE"/>
    <w:rsid w:val="004F2123"/>
    <w:rsid w:val="004F2135"/>
    <w:rsid w:val="004F2268"/>
    <w:rsid w:val="004F2273"/>
    <w:rsid w:val="004F2351"/>
    <w:rsid w:val="004F24B9"/>
    <w:rsid w:val="004F25DB"/>
    <w:rsid w:val="004F29EA"/>
    <w:rsid w:val="004F2B1B"/>
    <w:rsid w:val="004F2D66"/>
    <w:rsid w:val="004F2E2D"/>
    <w:rsid w:val="004F2FA9"/>
    <w:rsid w:val="004F3359"/>
    <w:rsid w:val="004F3499"/>
    <w:rsid w:val="004F3584"/>
    <w:rsid w:val="004F3742"/>
    <w:rsid w:val="004F3C10"/>
    <w:rsid w:val="004F3C17"/>
    <w:rsid w:val="004F3CE6"/>
    <w:rsid w:val="004F3FC8"/>
    <w:rsid w:val="004F3FF5"/>
    <w:rsid w:val="004F41C6"/>
    <w:rsid w:val="004F4226"/>
    <w:rsid w:val="004F43EB"/>
    <w:rsid w:val="004F48D8"/>
    <w:rsid w:val="004F4ACB"/>
    <w:rsid w:val="004F4D2A"/>
    <w:rsid w:val="004F4F85"/>
    <w:rsid w:val="004F53D3"/>
    <w:rsid w:val="004F573C"/>
    <w:rsid w:val="004F5779"/>
    <w:rsid w:val="004F581F"/>
    <w:rsid w:val="004F594E"/>
    <w:rsid w:val="004F5B03"/>
    <w:rsid w:val="004F611D"/>
    <w:rsid w:val="004F6346"/>
    <w:rsid w:val="004F656F"/>
    <w:rsid w:val="004F677C"/>
    <w:rsid w:val="004F692B"/>
    <w:rsid w:val="004F69A5"/>
    <w:rsid w:val="004F6AAB"/>
    <w:rsid w:val="004F6FC4"/>
    <w:rsid w:val="004F6FF9"/>
    <w:rsid w:val="004F77AF"/>
    <w:rsid w:val="004F7D4D"/>
    <w:rsid w:val="004F7F2F"/>
    <w:rsid w:val="00500193"/>
    <w:rsid w:val="00500252"/>
    <w:rsid w:val="00500A8B"/>
    <w:rsid w:val="00500B57"/>
    <w:rsid w:val="00500B6C"/>
    <w:rsid w:val="00500FEB"/>
    <w:rsid w:val="005011C1"/>
    <w:rsid w:val="00501247"/>
    <w:rsid w:val="005012D9"/>
    <w:rsid w:val="00501406"/>
    <w:rsid w:val="005015D7"/>
    <w:rsid w:val="0050178F"/>
    <w:rsid w:val="00501ACD"/>
    <w:rsid w:val="00501B55"/>
    <w:rsid w:val="00501CB0"/>
    <w:rsid w:val="00501FDB"/>
    <w:rsid w:val="0050208A"/>
    <w:rsid w:val="00502193"/>
    <w:rsid w:val="005024AB"/>
    <w:rsid w:val="005024EA"/>
    <w:rsid w:val="005026E9"/>
    <w:rsid w:val="00502C62"/>
    <w:rsid w:val="00502DDA"/>
    <w:rsid w:val="00503063"/>
    <w:rsid w:val="0050319A"/>
    <w:rsid w:val="0050319C"/>
    <w:rsid w:val="0050321E"/>
    <w:rsid w:val="005032F7"/>
    <w:rsid w:val="0050340D"/>
    <w:rsid w:val="00504060"/>
    <w:rsid w:val="00504360"/>
    <w:rsid w:val="0050451F"/>
    <w:rsid w:val="005045A1"/>
    <w:rsid w:val="005047B4"/>
    <w:rsid w:val="0050517A"/>
    <w:rsid w:val="00505421"/>
    <w:rsid w:val="005055DB"/>
    <w:rsid w:val="005058E1"/>
    <w:rsid w:val="00505CCD"/>
    <w:rsid w:val="00505DA9"/>
    <w:rsid w:val="00505E6E"/>
    <w:rsid w:val="005060E7"/>
    <w:rsid w:val="005061F3"/>
    <w:rsid w:val="005066BA"/>
    <w:rsid w:val="005069AA"/>
    <w:rsid w:val="00506A54"/>
    <w:rsid w:val="00506A78"/>
    <w:rsid w:val="00506BBA"/>
    <w:rsid w:val="00506C7D"/>
    <w:rsid w:val="00506EFF"/>
    <w:rsid w:val="005074F1"/>
    <w:rsid w:val="005075BA"/>
    <w:rsid w:val="00507867"/>
    <w:rsid w:val="00507C88"/>
    <w:rsid w:val="00510075"/>
    <w:rsid w:val="005101DB"/>
    <w:rsid w:val="005104AE"/>
    <w:rsid w:val="00510575"/>
    <w:rsid w:val="005105F4"/>
    <w:rsid w:val="005106E1"/>
    <w:rsid w:val="00510A35"/>
    <w:rsid w:val="00510B5A"/>
    <w:rsid w:val="005112C5"/>
    <w:rsid w:val="005113D4"/>
    <w:rsid w:val="0051147C"/>
    <w:rsid w:val="0051153C"/>
    <w:rsid w:val="005118D8"/>
    <w:rsid w:val="00511C47"/>
    <w:rsid w:val="00511CE4"/>
    <w:rsid w:val="00511D6C"/>
    <w:rsid w:val="00511E05"/>
    <w:rsid w:val="00511EB6"/>
    <w:rsid w:val="00511FB0"/>
    <w:rsid w:val="00511FD5"/>
    <w:rsid w:val="00511FFE"/>
    <w:rsid w:val="00512025"/>
    <w:rsid w:val="005126AD"/>
    <w:rsid w:val="00512D11"/>
    <w:rsid w:val="00512E9D"/>
    <w:rsid w:val="00512F1D"/>
    <w:rsid w:val="005130C4"/>
    <w:rsid w:val="005132AA"/>
    <w:rsid w:val="005135BD"/>
    <w:rsid w:val="0051363A"/>
    <w:rsid w:val="00513A2B"/>
    <w:rsid w:val="00513D37"/>
    <w:rsid w:val="00513DBC"/>
    <w:rsid w:val="00513F90"/>
    <w:rsid w:val="0051412F"/>
    <w:rsid w:val="005142BE"/>
    <w:rsid w:val="00514664"/>
    <w:rsid w:val="00514B6F"/>
    <w:rsid w:val="00514CC5"/>
    <w:rsid w:val="00515320"/>
    <w:rsid w:val="0051544B"/>
    <w:rsid w:val="00515519"/>
    <w:rsid w:val="00515646"/>
    <w:rsid w:val="00515696"/>
    <w:rsid w:val="005158DD"/>
    <w:rsid w:val="00515AA5"/>
    <w:rsid w:val="00515CCA"/>
    <w:rsid w:val="00515F80"/>
    <w:rsid w:val="00516255"/>
    <w:rsid w:val="0051668F"/>
    <w:rsid w:val="005166EE"/>
    <w:rsid w:val="00516BD3"/>
    <w:rsid w:val="00516DE6"/>
    <w:rsid w:val="005172D6"/>
    <w:rsid w:val="00517571"/>
    <w:rsid w:val="00517687"/>
    <w:rsid w:val="005178AE"/>
    <w:rsid w:val="005178EA"/>
    <w:rsid w:val="00517CBA"/>
    <w:rsid w:val="00517E52"/>
    <w:rsid w:val="00517F6D"/>
    <w:rsid w:val="0052067F"/>
    <w:rsid w:val="005206C1"/>
    <w:rsid w:val="005208EC"/>
    <w:rsid w:val="00520A84"/>
    <w:rsid w:val="00520FD7"/>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15"/>
    <w:rsid w:val="00524851"/>
    <w:rsid w:val="00524852"/>
    <w:rsid w:val="00524B6F"/>
    <w:rsid w:val="00524C97"/>
    <w:rsid w:val="00524ECA"/>
    <w:rsid w:val="00524FF5"/>
    <w:rsid w:val="005254B5"/>
    <w:rsid w:val="0052560D"/>
    <w:rsid w:val="00525765"/>
    <w:rsid w:val="00525769"/>
    <w:rsid w:val="00525945"/>
    <w:rsid w:val="0052596C"/>
    <w:rsid w:val="00525BC7"/>
    <w:rsid w:val="00525C10"/>
    <w:rsid w:val="00525D0D"/>
    <w:rsid w:val="00525D3D"/>
    <w:rsid w:val="00526345"/>
    <w:rsid w:val="00526B3A"/>
    <w:rsid w:val="00526E2E"/>
    <w:rsid w:val="00526FFE"/>
    <w:rsid w:val="0052708F"/>
    <w:rsid w:val="005270BF"/>
    <w:rsid w:val="00527883"/>
    <w:rsid w:val="005279BD"/>
    <w:rsid w:val="00527E96"/>
    <w:rsid w:val="00527F8F"/>
    <w:rsid w:val="00530014"/>
    <w:rsid w:val="005301C2"/>
    <w:rsid w:val="005303A6"/>
    <w:rsid w:val="005304CB"/>
    <w:rsid w:val="00530707"/>
    <w:rsid w:val="00530957"/>
    <w:rsid w:val="00530D64"/>
    <w:rsid w:val="00530D6D"/>
    <w:rsid w:val="00530F51"/>
    <w:rsid w:val="00531508"/>
    <w:rsid w:val="00531894"/>
    <w:rsid w:val="00531911"/>
    <w:rsid w:val="0053197B"/>
    <w:rsid w:val="00531A84"/>
    <w:rsid w:val="00531C94"/>
    <w:rsid w:val="00531F23"/>
    <w:rsid w:val="00532048"/>
    <w:rsid w:val="005323B2"/>
    <w:rsid w:val="00532818"/>
    <w:rsid w:val="00532B39"/>
    <w:rsid w:val="00532D2E"/>
    <w:rsid w:val="00532F8A"/>
    <w:rsid w:val="0053327A"/>
    <w:rsid w:val="00533E1A"/>
    <w:rsid w:val="00534239"/>
    <w:rsid w:val="005345D8"/>
    <w:rsid w:val="005349D6"/>
    <w:rsid w:val="005349F6"/>
    <w:rsid w:val="00534A63"/>
    <w:rsid w:val="00534DD9"/>
    <w:rsid w:val="00535286"/>
    <w:rsid w:val="00535437"/>
    <w:rsid w:val="00535490"/>
    <w:rsid w:val="005354B8"/>
    <w:rsid w:val="005355D7"/>
    <w:rsid w:val="005357C7"/>
    <w:rsid w:val="005359D7"/>
    <w:rsid w:val="00535AA5"/>
    <w:rsid w:val="00536914"/>
    <w:rsid w:val="00536A10"/>
    <w:rsid w:val="0053701E"/>
    <w:rsid w:val="0053727B"/>
    <w:rsid w:val="005374EC"/>
    <w:rsid w:val="005376C6"/>
    <w:rsid w:val="005377E0"/>
    <w:rsid w:val="0053795B"/>
    <w:rsid w:val="00537CF2"/>
    <w:rsid w:val="00537E38"/>
    <w:rsid w:val="00537ECF"/>
    <w:rsid w:val="00537F5F"/>
    <w:rsid w:val="005402E6"/>
    <w:rsid w:val="005402F0"/>
    <w:rsid w:val="00540428"/>
    <w:rsid w:val="0054048B"/>
    <w:rsid w:val="0054068E"/>
    <w:rsid w:val="005408F8"/>
    <w:rsid w:val="00540AAE"/>
    <w:rsid w:val="00540AE8"/>
    <w:rsid w:val="00540B00"/>
    <w:rsid w:val="00540BD7"/>
    <w:rsid w:val="00540C10"/>
    <w:rsid w:val="00540C1A"/>
    <w:rsid w:val="00540CD8"/>
    <w:rsid w:val="00540E6F"/>
    <w:rsid w:val="00540F84"/>
    <w:rsid w:val="00540F93"/>
    <w:rsid w:val="0054117B"/>
    <w:rsid w:val="005415B8"/>
    <w:rsid w:val="00541844"/>
    <w:rsid w:val="00541847"/>
    <w:rsid w:val="00541851"/>
    <w:rsid w:val="00541A81"/>
    <w:rsid w:val="00541BD3"/>
    <w:rsid w:val="00541C26"/>
    <w:rsid w:val="00541CE6"/>
    <w:rsid w:val="00541D2B"/>
    <w:rsid w:val="00541DE4"/>
    <w:rsid w:val="005425F9"/>
    <w:rsid w:val="00542DA1"/>
    <w:rsid w:val="00542E96"/>
    <w:rsid w:val="005430F9"/>
    <w:rsid w:val="0054347F"/>
    <w:rsid w:val="005435E1"/>
    <w:rsid w:val="00543741"/>
    <w:rsid w:val="00543785"/>
    <w:rsid w:val="00543D62"/>
    <w:rsid w:val="00543EE7"/>
    <w:rsid w:val="00544002"/>
    <w:rsid w:val="0054409E"/>
    <w:rsid w:val="005442E2"/>
    <w:rsid w:val="00544584"/>
    <w:rsid w:val="0054482D"/>
    <w:rsid w:val="00544AE8"/>
    <w:rsid w:val="00544EBA"/>
    <w:rsid w:val="005450D1"/>
    <w:rsid w:val="005450E5"/>
    <w:rsid w:val="00545175"/>
    <w:rsid w:val="00545195"/>
    <w:rsid w:val="005453EF"/>
    <w:rsid w:val="00545457"/>
    <w:rsid w:val="00545614"/>
    <w:rsid w:val="00545F95"/>
    <w:rsid w:val="005463D7"/>
    <w:rsid w:val="00546459"/>
    <w:rsid w:val="00546699"/>
    <w:rsid w:val="00546CA7"/>
    <w:rsid w:val="00546E18"/>
    <w:rsid w:val="00546FA6"/>
    <w:rsid w:val="00547060"/>
    <w:rsid w:val="0054730C"/>
    <w:rsid w:val="00547874"/>
    <w:rsid w:val="00547F31"/>
    <w:rsid w:val="005502DC"/>
    <w:rsid w:val="0055049C"/>
    <w:rsid w:val="00550B17"/>
    <w:rsid w:val="00550D07"/>
    <w:rsid w:val="005513D0"/>
    <w:rsid w:val="00551490"/>
    <w:rsid w:val="00551928"/>
    <w:rsid w:val="00551BF1"/>
    <w:rsid w:val="005520E8"/>
    <w:rsid w:val="005521AB"/>
    <w:rsid w:val="005522EE"/>
    <w:rsid w:val="0055248B"/>
    <w:rsid w:val="0055281E"/>
    <w:rsid w:val="00552A2E"/>
    <w:rsid w:val="00552AD3"/>
    <w:rsid w:val="00552CA5"/>
    <w:rsid w:val="00552D49"/>
    <w:rsid w:val="00552F3D"/>
    <w:rsid w:val="005530B7"/>
    <w:rsid w:val="00553792"/>
    <w:rsid w:val="00553A1A"/>
    <w:rsid w:val="00553D3E"/>
    <w:rsid w:val="00553E64"/>
    <w:rsid w:val="005542C7"/>
    <w:rsid w:val="00554650"/>
    <w:rsid w:val="00554AF9"/>
    <w:rsid w:val="00554FE9"/>
    <w:rsid w:val="005550B3"/>
    <w:rsid w:val="00555241"/>
    <w:rsid w:val="005552B8"/>
    <w:rsid w:val="005554AD"/>
    <w:rsid w:val="00555985"/>
    <w:rsid w:val="00555A5B"/>
    <w:rsid w:val="00555B8C"/>
    <w:rsid w:val="00555F23"/>
    <w:rsid w:val="00556494"/>
    <w:rsid w:val="005568E0"/>
    <w:rsid w:val="00556C2E"/>
    <w:rsid w:val="00556CC3"/>
    <w:rsid w:val="00556D79"/>
    <w:rsid w:val="00556E5F"/>
    <w:rsid w:val="005574F0"/>
    <w:rsid w:val="005575CD"/>
    <w:rsid w:val="00557E7C"/>
    <w:rsid w:val="00560151"/>
    <w:rsid w:val="00560263"/>
    <w:rsid w:val="005602AE"/>
    <w:rsid w:val="005602EA"/>
    <w:rsid w:val="005604D7"/>
    <w:rsid w:val="00560669"/>
    <w:rsid w:val="005606FD"/>
    <w:rsid w:val="0056083D"/>
    <w:rsid w:val="00560946"/>
    <w:rsid w:val="00560C3D"/>
    <w:rsid w:val="00561286"/>
    <w:rsid w:val="00561373"/>
    <w:rsid w:val="00561383"/>
    <w:rsid w:val="005614D7"/>
    <w:rsid w:val="0056174C"/>
    <w:rsid w:val="00561A59"/>
    <w:rsid w:val="00561B44"/>
    <w:rsid w:val="00561C96"/>
    <w:rsid w:val="00561CDA"/>
    <w:rsid w:val="00561ED1"/>
    <w:rsid w:val="00562460"/>
    <w:rsid w:val="0056284B"/>
    <w:rsid w:val="005629ED"/>
    <w:rsid w:val="00562BE9"/>
    <w:rsid w:val="00562EB9"/>
    <w:rsid w:val="00563685"/>
    <w:rsid w:val="00563D96"/>
    <w:rsid w:val="00563F1D"/>
    <w:rsid w:val="005646AD"/>
    <w:rsid w:val="00565252"/>
    <w:rsid w:val="005656B0"/>
    <w:rsid w:val="00565916"/>
    <w:rsid w:val="00565953"/>
    <w:rsid w:val="00565A55"/>
    <w:rsid w:val="00565E62"/>
    <w:rsid w:val="00566092"/>
    <w:rsid w:val="0056609A"/>
    <w:rsid w:val="005663D1"/>
    <w:rsid w:val="0056649C"/>
    <w:rsid w:val="00566616"/>
    <w:rsid w:val="005666C9"/>
    <w:rsid w:val="00566718"/>
    <w:rsid w:val="00566A29"/>
    <w:rsid w:val="00566AE8"/>
    <w:rsid w:val="00566DF3"/>
    <w:rsid w:val="00567104"/>
    <w:rsid w:val="0056753C"/>
    <w:rsid w:val="005677B7"/>
    <w:rsid w:val="00567A81"/>
    <w:rsid w:val="00567C05"/>
    <w:rsid w:val="00567E49"/>
    <w:rsid w:val="005700CD"/>
    <w:rsid w:val="005702C6"/>
    <w:rsid w:val="0057056B"/>
    <w:rsid w:val="005706E6"/>
    <w:rsid w:val="00570B24"/>
    <w:rsid w:val="00570B59"/>
    <w:rsid w:val="00570E24"/>
    <w:rsid w:val="00570E47"/>
    <w:rsid w:val="00570F1C"/>
    <w:rsid w:val="00571067"/>
    <w:rsid w:val="005711E2"/>
    <w:rsid w:val="0057140E"/>
    <w:rsid w:val="00571DBF"/>
    <w:rsid w:val="005720B9"/>
    <w:rsid w:val="005721C6"/>
    <w:rsid w:val="0057247C"/>
    <w:rsid w:val="005726CD"/>
    <w:rsid w:val="00572777"/>
    <w:rsid w:val="00572BF5"/>
    <w:rsid w:val="00572C34"/>
    <w:rsid w:val="00573064"/>
    <w:rsid w:val="005730FF"/>
    <w:rsid w:val="005732C7"/>
    <w:rsid w:val="0057332C"/>
    <w:rsid w:val="005733C6"/>
    <w:rsid w:val="005738F5"/>
    <w:rsid w:val="00573F98"/>
    <w:rsid w:val="00574003"/>
    <w:rsid w:val="005742D6"/>
    <w:rsid w:val="00574405"/>
    <w:rsid w:val="0057445B"/>
    <w:rsid w:val="00574495"/>
    <w:rsid w:val="005747DE"/>
    <w:rsid w:val="00574903"/>
    <w:rsid w:val="00574AA7"/>
    <w:rsid w:val="00574BB5"/>
    <w:rsid w:val="00574EFF"/>
    <w:rsid w:val="00574F5E"/>
    <w:rsid w:val="00574FB2"/>
    <w:rsid w:val="0057513F"/>
    <w:rsid w:val="0057558D"/>
    <w:rsid w:val="00575849"/>
    <w:rsid w:val="005759BD"/>
    <w:rsid w:val="00575A52"/>
    <w:rsid w:val="00575CFD"/>
    <w:rsid w:val="00575D2D"/>
    <w:rsid w:val="00575D86"/>
    <w:rsid w:val="00575E79"/>
    <w:rsid w:val="00575F29"/>
    <w:rsid w:val="0057611D"/>
    <w:rsid w:val="0057634D"/>
    <w:rsid w:val="00576F76"/>
    <w:rsid w:val="00577014"/>
    <w:rsid w:val="00577555"/>
    <w:rsid w:val="0057777C"/>
    <w:rsid w:val="005777FC"/>
    <w:rsid w:val="00577B63"/>
    <w:rsid w:val="00577DBA"/>
    <w:rsid w:val="005800F2"/>
    <w:rsid w:val="0058012A"/>
    <w:rsid w:val="005806F1"/>
    <w:rsid w:val="00580820"/>
    <w:rsid w:val="00580AFD"/>
    <w:rsid w:val="00580E7F"/>
    <w:rsid w:val="00580EFF"/>
    <w:rsid w:val="00581F6F"/>
    <w:rsid w:val="0058229E"/>
    <w:rsid w:val="00582441"/>
    <w:rsid w:val="005828EE"/>
    <w:rsid w:val="00582A86"/>
    <w:rsid w:val="00582ADB"/>
    <w:rsid w:val="00582B72"/>
    <w:rsid w:val="00582FC5"/>
    <w:rsid w:val="005830F8"/>
    <w:rsid w:val="0058314D"/>
    <w:rsid w:val="005836EB"/>
    <w:rsid w:val="00583736"/>
    <w:rsid w:val="00583AE5"/>
    <w:rsid w:val="00583DC0"/>
    <w:rsid w:val="00583E2F"/>
    <w:rsid w:val="00583F80"/>
    <w:rsid w:val="00584084"/>
    <w:rsid w:val="00584313"/>
    <w:rsid w:val="00584349"/>
    <w:rsid w:val="00584677"/>
    <w:rsid w:val="00584A61"/>
    <w:rsid w:val="00584B4D"/>
    <w:rsid w:val="00585706"/>
    <w:rsid w:val="00585707"/>
    <w:rsid w:val="005858CB"/>
    <w:rsid w:val="00585988"/>
    <w:rsid w:val="00585AF8"/>
    <w:rsid w:val="00586098"/>
    <w:rsid w:val="00586233"/>
    <w:rsid w:val="005862D0"/>
    <w:rsid w:val="005864FA"/>
    <w:rsid w:val="0058687A"/>
    <w:rsid w:val="00586909"/>
    <w:rsid w:val="00586ED4"/>
    <w:rsid w:val="00587047"/>
    <w:rsid w:val="005870BE"/>
    <w:rsid w:val="005872C1"/>
    <w:rsid w:val="005875E0"/>
    <w:rsid w:val="00587996"/>
    <w:rsid w:val="00587A57"/>
    <w:rsid w:val="00587C59"/>
    <w:rsid w:val="0059010D"/>
    <w:rsid w:val="005901B1"/>
    <w:rsid w:val="005903A0"/>
    <w:rsid w:val="00590461"/>
    <w:rsid w:val="0059060A"/>
    <w:rsid w:val="005906DA"/>
    <w:rsid w:val="0059090F"/>
    <w:rsid w:val="00590E7C"/>
    <w:rsid w:val="00591012"/>
    <w:rsid w:val="005911DE"/>
    <w:rsid w:val="00591303"/>
    <w:rsid w:val="005913CC"/>
    <w:rsid w:val="00591769"/>
    <w:rsid w:val="0059196E"/>
    <w:rsid w:val="00591C01"/>
    <w:rsid w:val="0059250B"/>
    <w:rsid w:val="00592940"/>
    <w:rsid w:val="00592C26"/>
    <w:rsid w:val="00592CB1"/>
    <w:rsid w:val="00592D2B"/>
    <w:rsid w:val="005933D8"/>
    <w:rsid w:val="00593768"/>
    <w:rsid w:val="00593AF3"/>
    <w:rsid w:val="00593AF9"/>
    <w:rsid w:val="00594162"/>
    <w:rsid w:val="00594396"/>
    <w:rsid w:val="0059463B"/>
    <w:rsid w:val="00594B07"/>
    <w:rsid w:val="00594C15"/>
    <w:rsid w:val="00594D03"/>
    <w:rsid w:val="005952A6"/>
    <w:rsid w:val="00595CA6"/>
    <w:rsid w:val="00595E00"/>
    <w:rsid w:val="00595E5F"/>
    <w:rsid w:val="00595E64"/>
    <w:rsid w:val="00595F6D"/>
    <w:rsid w:val="005960C9"/>
    <w:rsid w:val="00596956"/>
    <w:rsid w:val="00596AB8"/>
    <w:rsid w:val="00596D40"/>
    <w:rsid w:val="005970DC"/>
    <w:rsid w:val="00597266"/>
    <w:rsid w:val="00597280"/>
    <w:rsid w:val="00597451"/>
    <w:rsid w:val="00597F16"/>
    <w:rsid w:val="00597FBB"/>
    <w:rsid w:val="00597FE9"/>
    <w:rsid w:val="005A018E"/>
    <w:rsid w:val="005A024A"/>
    <w:rsid w:val="005A0324"/>
    <w:rsid w:val="005A04BE"/>
    <w:rsid w:val="005A06B1"/>
    <w:rsid w:val="005A06EC"/>
    <w:rsid w:val="005A06F7"/>
    <w:rsid w:val="005A0735"/>
    <w:rsid w:val="005A098D"/>
    <w:rsid w:val="005A0D15"/>
    <w:rsid w:val="005A0EF1"/>
    <w:rsid w:val="005A113F"/>
    <w:rsid w:val="005A116E"/>
    <w:rsid w:val="005A13E7"/>
    <w:rsid w:val="005A143C"/>
    <w:rsid w:val="005A18B4"/>
    <w:rsid w:val="005A1A56"/>
    <w:rsid w:val="005A1B88"/>
    <w:rsid w:val="005A1BEF"/>
    <w:rsid w:val="005A1C8E"/>
    <w:rsid w:val="005A1EB8"/>
    <w:rsid w:val="005A2097"/>
    <w:rsid w:val="005A227F"/>
    <w:rsid w:val="005A23F7"/>
    <w:rsid w:val="005A242E"/>
    <w:rsid w:val="005A28E2"/>
    <w:rsid w:val="005A2A95"/>
    <w:rsid w:val="005A2AF8"/>
    <w:rsid w:val="005A2B02"/>
    <w:rsid w:val="005A2C06"/>
    <w:rsid w:val="005A3208"/>
    <w:rsid w:val="005A337F"/>
    <w:rsid w:val="005A38F4"/>
    <w:rsid w:val="005A3BD2"/>
    <w:rsid w:val="005A3E4D"/>
    <w:rsid w:val="005A3FF5"/>
    <w:rsid w:val="005A444D"/>
    <w:rsid w:val="005A4AAA"/>
    <w:rsid w:val="005A4DEE"/>
    <w:rsid w:val="005A5120"/>
    <w:rsid w:val="005A54F0"/>
    <w:rsid w:val="005A5602"/>
    <w:rsid w:val="005A56FF"/>
    <w:rsid w:val="005A5788"/>
    <w:rsid w:val="005A579A"/>
    <w:rsid w:val="005A581E"/>
    <w:rsid w:val="005A58D4"/>
    <w:rsid w:val="005A5A7F"/>
    <w:rsid w:val="005A5AF0"/>
    <w:rsid w:val="005A5B91"/>
    <w:rsid w:val="005A5FE1"/>
    <w:rsid w:val="005A6013"/>
    <w:rsid w:val="005A61B9"/>
    <w:rsid w:val="005A666D"/>
    <w:rsid w:val="005A677E"/>
    <w:rsid w:val="005A69F0"/>
    <w:rsid w:val="005A6FA3"/>
    <w:rsid w:val="005A704D"/>
    <w:rsid w:val="005A7091"/>
    <w:rsid w:val="005A70EE"/>
    <w:rsid w:val="005A71BE"/>
    <w:rsid w:val="005A7421"/>
    <w:rsid w:val="005A75AF"/>
    <w:rsid w:val="005A7C6E"/>
    <w:rsid w:val="005B083D"/>
    <w:rsid w:val="005B0C78"/>
    <w:rsid w:val="005B0D42"/>
    <w:rsid w:val="005B14B4"/>
    <w:rsid w:val="005B1EB0"/>
    <w:rsid w:val="005B235D"/>
    <w:rsid w:val="005B2515"/>
    <w:rsid w:val="005B2A14"/>
    <w:rsid w:val="005B2D34"/>
    <w:rsid w:val="005B3146"/>
    <w:rsid w:val="005B31C4"/>
    <w:rsid w:val="005B325E"/>
    <w:rsid w:val="005B3370"/>
    <w:rsid w:val="005B37DC"/>
    <w:rsid w:val="005B3B82"/>
    <w:rsid w:val="005B3B96"/>
    <w:rsid w:val="005B3B9D"/>
    <w:rsid w:val="005B3BE8"/>
    <w:rsid w:val="005B3C78"/>
    <w:rsid w:val="005B3E1E"/>
    <w:rsid w:val="005B404F"/>
    <w:rsid w:val="005B406E"/>
    <w:rsid w:val="005B46CB"/>
    <w:rsid w:val="005B480E"/>
    <w:rsid w:val="005B4A51"/>
    <w:rsid w:val="005B4B7F"/>
    <w:rsid w:val="005B4E70"/>
    <w:rsid w:val="005B5022"/>
    <w:rsid w:val="005B51B8"/>
    <w:rsid w:val="005B549A"/>
    <w:rsid w:val="005B5572"/>
    <w:rsid w:val="005B568C"/>
    <w:rsid w:val="005B5D27"/>
    <w:rsid w:val="005B60AA"/>
    <w:rsid w:val="005B667E"/>
    <w:rsid w:val="005B67F1"/>
    <w:rsid w:val="005B684E"/>
    <w:rsid w:val="005B694D"/>
    <w:rsid w:val="005B6DD2"/>
    <w:rsid w:val="005B6E70"/>
    <w:rsid w:val="005B6E88"/>
    <w:rsid w:val="005B7641"/>
    <w:rsid w:val="005B772E"/>
    <w:rsid w:val="005B776C"/>
    <w:rsid w:val="005B77A0"/>
    <w:rsid w:val="005B78E3"/>
    <w:rsid w:val="005B7983"/>
    <w:rsid w:val="005B7990"/>
    <w:rsid w:val="005B7AC5"/>
    <w:rsid w:val="005B7BD7"/>
    <w:rsid w:val="005B7D2C"/>
    <w:rsid w:val="005B7E09"/>
    <w:rsid w:val="005B7EE3"/>
    <w:rsid w:val="005B7F18"/>
    <w:rsid w:val="005C0023"/>
    <w:rsid w:val="005C00F4"/>
    <w:rsid w:val="005C02E3"/>
    <w:rsid w:val="005C0E01"/>
    <w:rsid w:val="005C0E08"/>
    <w:rsid w:val="005C0F66"/>
    <w:rsid w:val="005C0FBC"/>
    <w:rsid w:val="005C15F3"/>
    <w:rsid w:val="005C1C73"/>
    <w:rsid w:val="005C229C"/>
    <w:rsid w:val="005C2767"/>
    <w:rsid w:val="005C30C0"/>
    <w:rsid w:val="005C32F1"/>
    <w:rsid w:val="005C343E"/>
    <w:rsid w:val="005C3724"/>
    <w:rsid w:val="005C376A"/>
    <w:rsid w:val="005C384E"/>
    <w:rsid w:val="005C3C17"/>
    <w:rsid w:val="005C3C45"/>
    <w:rsid w:val="005C3DFA"/>
    <w:rsid w:val="005C3ED6"/>
    <w:rsid w:val="005C3EF6"/>
    <w:rsid w:val="005C4013"/>
    <w:rsid w:val="005C40D0"/>
    <w:rsid w:val="005C4379"/>
    <w:rsid w:val="005C4540"/>
    <w:rsid w:val="005C4660"/>
    <w:rsid w:val="005C4706"/>
    <w:rsid w:val="005C4C4E"/>
    <w:rsid w:val="005C50B8"/>
    <w:rsid w:val="005C53A5"/>
    <w:rsid w:val="005C569F"/>
    <w:rsid w:val="005C58BD"/>
    <w:rsid w:val="005C5AB3"/>
    <w:rsid w:val="005C5CB7"/>
    <w:rsid w:val="005C5EAE"/>
    <w:rsid w:val="005C6450"/>
    <w:rsid w:val="005C64D2"/>
    <w:rsid w:val="005C65FD"/>
    <w:rsid w:val="005C6679"/>
    <w:rsid w:val="005C6AB4"/>
    <w:rsid w:val="005C749D"/>
    <w:rsid w:val="005C7563"/>
    <w:rsid w:val="005C7570"/>
    <w:rsid w:val="005C760E"/>
    <w:rsid w:val="005C7763"/>
    <w:rsid w:val="005C7A22"/>
    <w:rsid w:val="005C7B70"/>
    <w:rsid w:val="005C7BF3"/>
    <w:rsid w:val="005C7DD9"/>
    <w:rsid w:val="005D0959"/>
    <w:rsid w:val="005D0E33"/>
    <w:rsid w:val="005D0F3B"/>
    <w:rsid w:val="005D1D15"/>
    <w:rsid w:val="005D1D8E"/>
    <w:rsid w:val="005D1FF0"/>
    <w:rsid w:val="005D2207"/>
    <w:rsid w:val="005D237F"/>
    <w:rsid w:val="005D2381"/>
    <w:rsid w:val="005D254D"/>
    <w:rsid w:val="005D2569"/>
    <w:rsid w:val="005D2900"/>
    <w:rsid w:val="005D2C43"/>
    <w:rsid w:val="005D2D7A"/>
    <w:rsid w:val="005D3398"/>
    <w:rsid w:val="005D34B4"/>
    <w:rsid w:val="005D39B1"/>
    <w:rsid w:val="005D3ACB"/>
    <w:rsid w:val="005D3B22"/>
    <w:rsid w:val="005D3C3E"/>
    <w:rsid w:val="005D3CA1"/>
    <w:rsid w:val="005D3DFF"/>
    <w:rsid w:val="005D3FBC"/>
    <w:rsid w:val="005D40C0"/>
    <w:rsid w:val="005D40D2"/>
    <w:rsid w:val="005D423D"/>
    <w:rsid w:val="005D449A"/>
    <w:rsid w:val="005D4546"/>
    <w:rsid w:val="005D4725"/>
    <w:rsid w:val="005D499B"/>
    <w:rsid w:val="005D4BF2"/>
    <w:rsid w:val="005D4E51"/>
    <w:rsid w:val="005D5193"/>
    <w:rsid w:val="005D529E"/>
    <w:rsid w:val="005D55E4"/>
    <w:rsid w:val="005D571B"/>
    <w:rsid w:val="005D5EE9"/>
    <w:rsid w:val="005D60D3"/>
    <w:rsid w:val="005D6492"/>
    <w:rsid w:val="005D65CE"/>
    <w:rsid w:val="005D66A4"/>
    <w:rsid w:val="005D6B25"/>
    <w:rsid w:val="005D6CFD"/>
    <w:rsid w:val="005D7064"/>
    <w:rsid w:val="005D72B9"/>
    <w:rsid w:val="005D77B0"/>
    <w:rsid w:val="005D77DC"/>
    <w:rsid w:val="005D782A"/>
    <w:rsid w:val="005E0028"/>
    <w:rsid w:val="005E0672"/>
    <w:rsid w:val="005E0755"/>
    <w:rsid w:val="005E08BB"/>
    <w:rsid w:val="005E09E3"/>
    <w:rsid w:val="005E0A3F"/>
    <w:rsid w:val="005E0F43"/>
    <w:rsid w:val="005E135B"/>
    <w:rsid w:val="005E1398"/>
    <w:rsid w:val="005E1902"/>
    <w:rsid w:val="005E1B34"/>
    <w:rsid w:val="005E1BB1"/>
    <w:rsid w:val="005E1CC4"/>
    <w:rsid w:val="005E1F24"/>
    <w:rsid w:val="005E1FFF"/>
    <w:rsid w:val="005E205B"/>
    <w:rsid w:val="005E20A1"/>
    <w:rsid w:val="005E293D"/>
    <w:rsid w:val="005E2BF9"/>
    <w:rsid w:val="005E2DF0"/>
    <w:rsid w:val="005E2E10"/>
    <w:rsid w:val="005E2E3C"/>
    <w:rsid w:val="005E3108"/>
    <w:rsid w:val="005E31D5"/>
    <w:rsid w:val="005E3716"/>
    <w:rsid w:val="005E38B2"/>
    <w:rsid w:val="005E3E59"/>
    <w:rsid w:val="005E3FF5"/>
    <w:rsid w:val="005E4215"/>
    <w:rsid w:val="005E43A3"/>
    <w:rsid w:val="005E43BF"/>
    <w:rsid w:val="005E44FB"/>
    <w:rsid w:val="005E4625"/>
    <w:rsid w:val="005E4810"/>
    <w:rsid w:val="005E4BD6"/>
    <w:rsid w:val="005E4FA2"/>
    <w:rsid w:val="005E53D0"/>
    <w:rsid w:val="005E5576"/>
    <w:rsid w:val="005E58CC"/>
    <w:rsid w:val="005E595C"/>
    <w:rsid w:val="005E59B7"/>
    <w:rsid w:val="005E5A6E"/>
    <w:rsid w:val="005E5A8C"/>
    <w:rsid w:val="005E5D0C"/>
    <w:rsid w:val="005E5F39"/>
    <w:rsid w:val="005E6242"/>
    <w:rsid w:val="005E677D"/>
    <w:rsid w:val="005E6CA5"/>
    <w:rsid w:val="005E6F86"/>
    <w:rsid w:val="005E7240"/>
    <w:rsid w:val="005E72A2"/>
    <w:rsid w:val="005E736A"/>
    <w:rsid w:val="005E7842"/>
    <w:rsid w:val="005E78A8"/>
    <w:rsid w:val="005E7BB1"/>
    <w:rsid w:val="005E7C1C"/>
    <w:rsid w:val="005F028F"/>
    <w:rsid w:val="005F0340"/>
    <w:rsid w:val="005F04B0"/>
    <w:rsid w:val="005F054A"/>
    <w:rsid w:val="005F0696"/>
    <w:rsid w:val="005F087F"/>
    <w:rsid w:val="005F0BEC"/>
    <w:rsid w:val="005F0CE3"/>
    <w:rsid w:val="005F0D03"/>
    <w:rsid w:val="005F12B7"/>
    <w:rsid w:val="005F142A"/>
    <w:rsid w:val="005F14A0"/>
    <w:rsid w:val="005F1632"/>
    <w:rsid w:val="005F18CA"/>
    <w:rsid w:val="005F199C"/>
    <w:rsid w:val="005F1FEB"/>
    <w:rsid w:val="005F2709"/>
    <w:rsid w:val="005F270A"/>
    <w:rsid w:val="005F2B52"/>
    <w:rsid w:val="005F2B72"/>
    <w:rsid w:val="005F2FBF"/>
    <w:rsid w:val="005F2FDD"/>
    <w:rsid w:val="005F3095"/>
    <w:rsid w:val="005F34DA"/>
    <w:rsid w:val="005F3AEE"/>
    <w:rsid w:val="005F3E51"/>
    <w:rsid w:val="005F3FFC"/>
    <w:rsid w:val="005F4A08"/>
    <w:rsid w:val="005F4D07"/>
    <w:rsid w:val="005F4E34"/>
    <w:rsid w:val="005F5188"/>
    <w:rsid w:val="005F524F"/>
    <w:rsid w:val="005F5DA8"/>
    <w:rsid w:val="005F6029"/>
    <w:rsid w:val="005F6057"/>
    <w:rsid w:val="005F60E7"/>
    <w:rsid w:val="005F615E"/>
    <w:rsid w:val="005F61ED"/>
    <w:rsid w:val="005F6717"/>
    <w:rsid w:val="005F687F"/>
    <w:rsid w:val="005F6A1E"/>
    <w:rsid w:val="005F6A3B"/>
    <w:rsid w:val="005F6C9D"/>
    <w:rsid w:val="005F6F30"/>
    <w:rsid w:val="005F7443"/>
    <w:rsid w:val="005F7566"/>
    <w:rsid w:val="005F7732"/>
    <w:rsid w:val="005F77A1"/>
    <w:rsid w:val="005F7973"/>
    <w:rsid w:val="005F7C1D"/>
    <w:rsid w:val="005F7E04"/>
    <w:rsid w:val="005F7F8E"/>
    <w:rsid w:val="006000B5"/>
    <w:rsid w:val="0060018E"/>
    <w:rsid w:val="00600323"/>
    <w:rsid w:val="0060045A"/>
    <w:rsid w:val="006007BB"/>
    <w:rsid w:val="00600903"/>
    <w:rsid w:val="00600C64"/>
    <w:rsid w:val="00600C74"/>
    <w:rsid w:val="00600F73"/>
    <w:rsid w:val="00600F81"/>
    <w:rsid w:val="006011F7"/>
    <w:rsid w:val="0060131A"/>
    <w:rsid w:val="00601402"/>
    <w:rsid w:val="006016CA"/>
    <w:rsid w:val="006018DE"/>
    <w:rsid w:val="00601E05"/>
    <w:rsid w:val="00601F82"/>
    <w:rsid w:val="0060335B"/>
    <w:rsid w:val="0060344D"/>
    <w:rsid w:val="00603D3E"/>
    <w:rsid w:val="00603E38"/>
    <w:rsid w:val="00603E63"/>
    <w:rsid w:val="006040C8"/>
    <w:rsid w:val="006042B5"/>
    <w:rsid w:val="00604523"/>
    <w:rsid w:val="006046E6"/>
    <w:rsid w:val="00604916"/>
    <w:rsid w:val="00604973"/>
    <w:rsid w:val="006049AC"/>
    <w:rsid w:val="00604DEA"/>
    <w:rsid w:val="00604E30"/>
    <w:rsid w:val="00604F75"/>
    <w:rsid w:val="006052D6"/>
    <w:rsid w:val="00605E0F"/>
    <w:rsid w:val="00605E5E"/>
    <w:rsid w:val="00605FB6"/>
    <w:rsid w:val="00606066"/>
    <w:rsid w:val="006061E5"/>
    <w:rsid w:val="006061F2"/>
    <w:rsid w:val="006063BA"/>
    <w:rsid w:val="00606478"/>
    <w:rsid w:val="00606867"/>
    <w:rsid w:val="0060754E"/>
    <w:rsid w:val="006077C5"/>
    <w:rsid w:val="00607836"/>
    <w:rsid w:val="00607E9B"/>
    <w:rsid w:val="0061011A"/>
    <w:rsid w:val="00610438"/>
    <w:rsid w:val="0061067A"/>
    <w:rsid w:val="00610959"/>
    <w:rsid w:val="0061099C"/>
    <w:rsid w:val="00610B97"/>
    <w:rsid w:val="006111E0"/>
    <w:rsid w:val="0061177C"/>
    <w:rsid w:val="00611B56"/>
    <w:rsid w:val="0061201C"/>
    <w:rsid w:val="00612066"/>
    <w:rsid w:val="00612964"/>
    <w:rsid w:val="0061338C"/>
    <w:rsid w:val="0061339E"/>
    <w:rsid w:val="00613466"/>
    <w:rsid w:val="00613531"/>
    <w:rsid w:val="00613891"/>
    <w:rsid w:val="00613A0F"/>
    <w:rsid w:val="00613B99"/>
    <w:rsid w:val="00613BA9"/>
    <w:rsid w:val="00614180"/>
    <w:rsid w:val="00614265"/>
    <w:rsid w:val="00614320"/>
    <w:rsid w:val="006144D8"/>
    <w:rsid w:val="00614552"/>
    <w:rsid w:val="0061494F"/>
    <w:rsid w:val="00614BE5"/>
    <w:rsid w:val="00614C31"/>
    <w:rsid w:val="00614CCB"/>
    <w:rsid w:val="00615617"/>
    <w:rsid w:val="00615EBF"/>
    <w:rsid w:val="006161EA"/>
    <w:rsid w:val="00616431"/>
    <w:rsid w:val="00616577"/>
    <w:rsid w:val="0061696E"/>
    <w:rsid w:val="006169C2"/>
    <w:rsid w:val="00616C2F"/>
    <w:rsid w:val="00616CB4"/>
    <w:rsid w:val="00617147"/>
    <w:rsid w:val="006172F6"/>
    <w:rsid w:val="006178F5"/>
    <w:rsid w:val="006179F8"/>
    <w:rsid w:val="00617A02"/>
    <w:rsid w:val="00617A14"/>
    <w:rsid w:val="00617BD0"/>
    <w:rsid w:val="006200B0"/>
    <w:rsid w:val="006204B2"/>
    <w:rsid w:val="006204D9"/>
    <w:rsid w:val="0062074F"/>
    <w:rsid w:val="00620C13"/>
    <w:rsid w:val="00620C1C"/>
    <w:rsid w:val="00620C25"/>
    <w:rsid w:val="00620DA8"/>
    <w:rsid w:val="00621236"/>
    <w:rsid w:val="0062166B"/>
    <w:rsid w:val="0062193A"/>
    <w:rsid w:val="00621B1B"/>
    <w:rsid w:val="00621C65"/>
    <w:rsid w:val="00622201"/>
    <w:rsid w:val="006222CF"/>
    <w:rsid w:val="006223DB"/>
    <w:rsid w:val="006224A9"/>
    <w:rsid w:val="00622692"/>
    <w:rsid w:val="006229C1"/>
    <w:rsid w:val="006229E7"/>
    <w:rsid w:val="00623588"/>
    <w:rsid w:val="00623736"/>
    <w:rsid w:val="00623992"/>
    <w:rsid w:val="00623BAA"/>
    <w:rsid w:val="00623BBC"/>
    <w:rsid w:val="00623F83"/>
    <w:rsid w:val="0062405E"/>
    <w:rsid w:val="00624474"/>
    <w:rsid w:val="006248E4"/>
    <w:rsid w:val="00624F68"/>
    <w:rsid w:val="00625040"/>
    <w:rsid w:val="006254DF"/>
    <w:rsid w:val="00625E33"/>
    <w:rsid w:val="00625F33"/>
    <w:rsid w:val="006263E0"/>
    <w:rsid w:val="006264A6"/>
    <w:rsid w:val="0062674F"/>
    <w:rsid w:val="0062688A"/>
    <w:rsid w:val="00627042"/>
    <w:rsid w:val="00627361"/>
    <w:rsid w:val="006273C4"/>
    <w:rsid w:val="00627939"/>
    <w:rsid w:val="00627975"/>
    <w:rsid w:val="00627D12"/>
    <w:rsid w:val="00627D5C"/>
    <w:rsid w:val="00627D77"/>
    <w:rsid w:val="00630249"/>
    <w:rsid w:val="006302F0"/>
    <w:rsid w:val="0063035A"/>
    <w:rsid w:val="00630482"/>
    <w:rsid w:val="00630484"/>
    <w:rsid w:val="00630836"/>
    <w:rsid w:val="00630A36"/>
    <w:rsid w:val="00630CAF"/>
    <w:rsid w:val="00630D01"/>
    <w:rsid w:val="00631078"/>
    <w:rsid w:val="0063153E"/>
    <w:rsid w:val="0063154D"/>
    <w:rsid w:val="00631732"/>
    <w:rsid w:val="00631A32"/>
    <w:rsid w:val="00631A8F"/>
    <w:rsid w:val="00631A91"/>
    <w:rsid w:val="00631E57"/>
    <w:rsid w:val="00631FEA"/>
    <w:rsid w:val="0063258E"/>
    <w:rsid w:val="00632A67"/>
    <w:rsid w:val="00632B5E"/>
    <w:rsid w:val="00632C6A"/>
    <w:rsid w:val="00632CAA"/>
    <w:rsid w:val="00632CCD"/>
    <w:rsid w:val="00632FF0"/>
    <w:rsid w:val="006332F7"/>
    <w:rsid w:val="00633344"/>
    <w:rsid w:val="0063335E"/>
    <w:rsid w:val="0063337F"/>
    <w:rsid w:val="0063381B"/>
    <w:rsid w:val="00633AB1"/>
    <w:rsid w:val="00633C06"/>
    <w:rsid w:val="0063439B"/>
    <w:rsid w:val="0063442F"/>
    <w:rsid w:val="0063493E"/>
    <w:rsid w:val="00634946"/>
    <w:rsid w:val="00634BA8"/>
    <w:rsid w:val="00634C8E"/>
    <w:rsid w:val="0063503E"/>
    <w:rsid w:val="006350EE"/>
    <w:rsid w:val="00635446"/>
    <w:rsid w:val="00635774"/>
    <w:rsid w:val="00635836"/>
    <w:rsid w:val="0063585C"/>
    <w:rsid w:val="00635BA4"/>
    <w:rsid w:val="00635CFC"/>
    <w:rsid w:val="00635D7A"/>
    <w:rsid w:val="006362B6"/>
    <w:rsid w:val="00636612"/>
    <w:rsid w:val="006369A6"/>
    <w:rsid w:val="00636B2A"/>
    <w:rsid w:val="00637636"/>
    <w:rsid w:val="0063793E"/>
    <w:rsid w:val="00637D77"/>
    <w:rsid w:val="00637F3F"/>
    <w:rsid w:val="006403E9"/>
    <w:rsid w:val="00640B97"/>
    <w:rsid w:val="00641078"/>
    <w:rsid w:val="0064111E"/>
    <w:rsid w:val="0064128F"/>
    <w:rsid w:val="0064160B"/>
    <w:rsid w:val="006416D0"/>
    <w:rsid w:val="0064182B"/>
    <w:rsid w:val="00641AA7"/>
    <w:rsid w:val="00641BFE"/>
    <w:rsid w:val="00641D7F"/>
    <w:rsid w:val="00641E64"/>
    <w:rsid w:val="00642D96"/>
    <w:rsid w:val="00642E9A"/>
    <w:rsid w:val="00643692"/>
    <w:rsid w:val="00643805"/>
    <w:rsid w:val="00643907"/>
    <w:rsid w:val="0064392C"/>
    <w:rsid w:val="00643A33"/>
    <w:rsid w:val="00643B87"/>
    <w:rsid w:val="00643BC3"/>
    <w:rsid w:val="00643C8B"/>
    <w:rsid w:val="006441E1"/>
    <w:rsid w:val="0064426E"/>
    <w:rsid w:val="0064448C"/>
    <w:rsid w:val="00644939"/>
    <w:rsid w:val="00644961"/>
    <w:rsid w:val="006449EC"/>
    <w:rsid w:val="00644F55"/>
    <w:rsid w:val="00645975"/>
    <w:rsid w:val="00645FF5"/>
    <w:rsid w:val="0064611C"/>
    <w:rsid w:val="00646126"/>
    <w:rsid w:val="00646313"/>
    <w:rsid w:val="00646358"/>
    <w:rsid w:val="00646386"/>
    <w:rsid w:val="0064644A"/>
    <w:rsid w:val="00646B75"/>
    <w:rsid w:val="00646C80"/>
    <w:rsid w:val="00646CCB"/>
    <w:rsid w:val="00646E73"/>
    <w:rsid w:val="0064703D"/>
    <w:rsid w:val="00647079"/>
    <w:rsid w:val="006470E2"/>
    <w:rsid w:val="00647183"/>
    <w:rsid w:val="00647388"/>
    <w:rsid w:val="0064744D"/>
    <w:rsid w:val="00647582"/>
    <w:rsid w:val="00647620"/>
    <w:rsid w:val="006477EA"/>
    <w:rsid w:val="00647837"/>
    <w:rsid w:val="0064793E"/>
    <w:rsid w:val="00647A64"/>
    <w:rsid w:val="00647C8C"/>
    <w:rsid w:val="00650356"/>
    <w:rsid w:val="00650515"/>
    <w:rsid w:val="00650B44"/>
    <w:rsid w:val="00650B48"/>
    <w:rsid w:val="00650CAD"/>
    <w:rsid w:val="00650E14"/>
    <w:rsid w:val="00651962"/>
    <w:rsid w:val="00651DDE"/>
    <w:rsid w:val="00651E4A"/>
    <w:rsid w:val="00651ED7"/>
    <w:rsid w:val="0065232D"/>
    <w:rsid w:val="006523EA"/>
    <w:rsid w:val="00652434"/>
    <w:rsid w:val="006524D0"/>
    <w:rsid w:val="006524DB"/>
    <w:rsid w:val="006526E2"/>
    <w:rsid w:val="0065270F"/>
    <w:rsid w:val="00652922"/>
    <w:rsid w:val="00652BAF"/>
    <w:rsid w:val="00652E0A"/>
    <w:rsid w:val="0065315B"/>
    <w:rsid w:val="00653231"/>
    <w:rsid w:val="00653445"/>
    <w:rsid w:val="006536F7"/>
    <w:rsid w:val="00653AD4"/>
    <w:rsid w:val="00653B3F"/>
    <w:rsid w:val="00653BCE"/>
    <w:rsid w:val="00653F83"/>
    <w:rsid w:val="00654296"/>
    <w:rsid w:val="00654428"/>
    <w:rsid w:val="00654650"/>
    <w:rsid w:val="00654737"/>
    <w:rsid w:val="0065480D"/>
    <w:rsid w:val="00654851"/>
    <w:rsid w:val="00654923"/>
    <w:rsid w:val="0065493A"/>
    <w:rsid w:val="00654A26"/>
    <w:rsid w:val="00654BB8"/>
    <w:rsid w:val="00654BC3"/>
    <w:rsid w:val="00654CF7"/>
    <w:rsid w:val="00654F04"/>
    <w:rsid w:val="006553A0"/>
    <w:rsid w:val="00655426"/>
    <w:rsid w:val="00655492"/>
    <w:rsid w:val="00655872"/>
    <w:rsid w:val="00655A0B"/>
    <w:rsid w:val="00655B86"/>
    <w:rsid w:val="00655E28"/>
    <w:rsid w:val="00655F3E"/>
    <w:rsid w:val="006560D8"/>
    <w:rsid w:val="00656562"/>
    <w:rsid w:val="0065681B"/>
    <w:rsid w:val="00656B8A"/>
    <w:rsid w:val="00656FDB"/>
    <w:rsid w:val="00657043"/>
    <w:rsid w:val="00657085"/>
    <w:rsid w:val="00657181"/>
    <w:rsid w:val="00657305"/>
    <w:rsid w:val="00657526"/>
    <w:rsid w:val="00657534"/>
    <w:rsid w:val="00657884"/>
    <w:rsid w:val="006578DC"/>
    <w:rsid w:val="00657933"/>
    <w:rsid w:val="006579CF"/>
    <w:rsid w:val="00657AFD"/>
    <w:rsid w:val="00657F98"/>
    <w:rsid w:val="0066013D"/>
    <w:rsid w:val="00660A9F"/>
    <w:rsid w:val="00660B3C"/>
    <w:rsid w:val="00660B69"/>
    <w:rsid w:val="00660C61"/>
    <w:rsid w:val="00661105"/>
    <w:rsid w:val="006613F3"/>
    <w:rsid w:val="0066144A"/>
    <w:rsid w:val="006614FF"/>
    <w:rsid w:val="00661971"/>
    <w:rsid w:val="00661A75"/>
    <w:rsid w:val="00661E99"/>
    <w:rsid w:val="00661F04"/>
    <w:rsid w:val="0066223C"/>
    <w:rsid w:val="00662248"/>
    <w:rsid w:val="0066252F"/>
    <w:rsid w:val="00662555"/>
    <w:rsid w:val="00662684"/>
    <w:rsid w:val="00662860"/>
    <w:rsid w:val="00662A61"/>
    <w:rsid w:val="00662C41"/>
    <w:rsid w:val="00662D16"/>
    <w:rsid w:val="00662F27"/>
    <w:rsid w:val="00662F40"/>
    <w:rsid w:val="0066377F"/>
    <w:rsid w:val="0066383C"/>
    <w:rsid w:val="006639BD"/>
    <w:rsid w:val="00663DDF"/>
    <w:rsid w:val="00664060"/>
    <w:rsid w:val="0066412F"/>
    <w:rsid w:val="00664E13"/>
    <w:rsid w:val="00664FF4"/>
    <w:rsid w:val="00665352"/>
    <w:rsid w:val="00665536"/>
    <w:rsid w:val="00665624"/>
    <w:rsid w:val="00665825"/>
    <w:rsid w:val="00665873"/>
    <w:rsid w:val="00665C46"/>
    <w:rsid w:val="00665CA3"/>
    <w:rsid w:val="00665ECA"/>
    <w:rsid w:val="0066606A"/>
    <w:rsid w:val="006665F1"/>
    <w:rsid w:val="006668F1"/>
    <w:rsid w:val="00666D19"/>
    <w:rsid w:val="00666D20"/>
    <w:rsid w:val="00666E20"/>
    <w:rsid w:val="00666FD4"/>
    <w:rsid w:val="0066724A"/>
    <w:rsid w:val="006673E9"/>
    <w:rsid w:val="00667429"/>
    <w:rsid w:val="00667515"/>
    <w:rsid w:val="006676D8"/>
    <w:rsid w:val="00667869"/>
    <w:rsid w:val="00667D11"/>
    <w:rsid w:val="00667F7C"/>
    <w:rsid w:val="00670136"/>
    <w:rsid w:val="00670651"/>
    <w:rsid w:val="006709A0"/>
    <w:rsid w:val="00670B98"/>
    <w:rsid w:val="00670C56"/>
    <w:rsid w:val="00671221"/>
    <w:rsid w:val="00671627"/>
    <w:rsid w:val="0067177E"/>
    <w:rsid w:val="00671898"/>
    <w:rsid w:val="00671C9C"/>
    <w:rsid w:val="00672109"/>
    <w:rsid w:val="00672682"/>
    <w:rsid w:val="0067274F"/>
    <w:rsid w:val="00672852"/>
    <w:rsid w:val="00672BB2"/>
    <w:rsid w:val="00672F64"/>
    <w:rsid w:val="00673156"/>
    <w:rsid w:val="0067316D"/>
    <w:rsid w:val="00673380"/>
    <w:rsid w:val="00673483"/>
    <w:rsid w:val="00673790"/>
    <w:rsid w:val="0067380D"/>
    <w:rsid w:val="00673880"/>
    <w:rsid w:val="00673BAE"/>
    <w:rsid w:val="00673CF5"/>
    <w:rsid w:val="00673F15"/>
    <w:rsid w:val="00674120"/>
    <w:rsid w:val="006744A9"/>
    <w:rsid w:val="006747A4"/>
    <w:rsid w:val="006747D6"/>
    <w:rsid w:val="00674AE2"/>
    <w:rsid w:val="00674DF2"/>
    <w:rsid w:val="00675048"/>
    <w:rsid w:val="00675942"/>
    <w:rsid w:val="006759A3"/>
    <w:rsid w:val="00675ACA"/>
    <w:rsid w:val="00675CCC"/>
    <w:rsid w:val="0067620A"/>
    <w:rsid w:val="00676364"/>
    <w:rsid w:val="0067654E"/>
    <w:rsid w:val="006766BE"/>
    <w:rsid w:val="00676767"/>
    <w:rsid w:val="006768CD"/>
    <w:rsid w:val="006774CA"/>
    <w:rsid w:val="006774E5"/>
    <w:rsid w:val="00677AA1"/>
    <w:rsid w:val="00677B48"/>
    <w:rsid w:val="00677BA6"/>
    <w:rsid w:val="00677C2E"/>
    <w:rsid w:val="00677E5D"/>
    <w:rsid w:val="00677F05"/>
    <w:rsid w:val="0068020C"/>
    <w:rsid w:val="0068025C"/>
    <w:rsid w:val="006802FD"/>
    <w:rsid w:val="0068064C"/>
    <w:rsid w:val="006807C5"/>
    <w:rsid w:val="006809FA"/>
    <w:rsid w:val="00680D5C"/>
    <w:rsid w:val="00680D5D"/>
    <w:rsid w:val="00680E2E"/>
    <w:rsid w:val="00680E32"/>
    <w:rsid w:val="00680E94"/>
    <w:rsid w:val="00681280"/>
    <w:rsid w:val="006814E5"/>
    <w:rsid w:val="00681BCB"/>
    <w:rsid w:val="00681DF4"/>
    <w:rsid w:val="00681EF6"/>
    <w:rsid w:val="006820C5"/>
    <w:rsid w:val="006822C6"/>
    <w:rsid w:val="00682728"/>
    <w:rsid w:val="00682823"/>
    <w:rsid w:val="0068299D"/>
    <w:rsid w:val="00682B7E"/>
    <w:rsid w:val="00682C1E"/>
    <w:rsid w:val="00682C34"/>
    <w:rsid w:val="00683146"/>
    <w:rsid w:val="0068376C"/>
    <w:rsid w:val="0068380C"/>
    <w:rsid w:val="00683BEC"/>
    <w:rsid w:val="00683D50"/>
    <w:rsid w:val="00683E5B"/>
    <w:rsid w:val="00683FD1"/>
    <w:rsid w:val="00684398"/>
    <w:rsid w:val="0068478D"/>
    <w:rsid w:val="00684A91"/>
    <w:rsid w:val="00684EBC"/>
    <w:rsid w:val="00684FE7"/>
    <w:rsid w:val="00684FFE"/>
    <w:rsid w:val="00685345"/>
    <w:rsid w:val="006855AF"/>
    <w:rsid w:val="006859C8"/>
    <w:rsid w:val="00685CBA"/>
    <w:rsid w:val="00685EDD"/>
    <w:rsid w:val="00686031"/>
    <w:rsid w:val="006861F5"/>
    <w:rsid w:val="006861F7"/>
    <w:rsid w:val="00686205"/>
    <w:rsid w:val="006864EB"/>
    <w:rsid w:val="006865B8"/>
    <w:rsid w:val="00686816"/>
    <w:rsid w:val="006869E4"/>
    <w:rsid w:val="00686E35"/>
    <w:rsid w:val="00686FB0"/>
    <w:rsid w:val="00687312"/>
    <w:rsid w:val="00687841"/>
    <w:rsid w:val="00687950"/>
    <w:rsid w:val="00687F2D"/>
    <w:rsid w:val="00690452"/>
    <w:rsid w:val="0069097F"/>
    <w:rsid w:val="006909C1"/>
    <w:rsid w:val="00690CBC"/>
    <w:rsid w:val="00690F29"/>
    <w:rsid w:val="00690FED"/>
    <w:rsid w:val="00691A87"/>
    <w:rsid w:val="00691F9D"/>
    <w:rsid w:val="00692287"/>
    <w:rsid w:val="00692289"/>
    <w:rsid w:val="00692476"/>
    <w:rsid w:val="00692685"/>
    <w:rsid w:val="00692919"/>
    <w:rsid w:val="006929EB"/>
    <w:rsid w:val="00693145"/>
    <w:rsid w:val="00693590"/>
    <w:rsid w:val="00693809"/>
    <w:rsid w:val="006939D0"/>
    <w:rsid w:val="00693A72"/>
    <w:rsid w:val="00693D15"/>
    <w:rsid w:val="00693E0E"/>
    <w:rsid w:val="00693E19"/>
    <w:rsid w:val="00693EA6"/>
    <w:rsid w:val="0069416D"/>
    <w:rsid w:val="00694222"/>
    <w:rsid w:val="0069435A"/>
    <w:rsid w:val="006944DF"/>
    <w:rsid w:val="0069461E"/>
    <w:rsid w:val="00694A0D"/>
    <w:rsid w:val="00694BC3"/>
    <w:rsid w:val="00694CBC"/>
    <w:rsid w:val="00694D7D"/>
    <w:rsid w:val="00694EA4"/>
    <w:rsid w:val="00694EAA"/>
    <w:rsid w:val="00694FE2"/>
    <w:rsid w:val="006952A8"/>
    <w:rsid w:val="006955BC"/>
    <w:rsid w:val="006956B6"/>
    <w:rsid w:val="0069586D"/>
    <w:rsid w:val="00695BD7"/>
    <w:rsid w:val="00695D59"/>
    <w:rsid w:val="00695FC0"/>
    <w:rsid w:val="006962DA"/>
    <w:rsid w:val="0069660F"/>
    <w:rsid w:val="0069679A"/>
    <w:rsid w:val="00696AFD"/>
    <w:rsid w:val="00697067"/>
    <w:rsid w:val="00697231"/>
    <w:rsid w:val="00697331"/>
    <w:rsid w:val="006973FA"/>
    <w:rsid w:val="0069750A"/>
    <w:rsid w:val="00697862"/>
    <w:rsid w:val="006978F0"/>
    <w:rsid w:val="006A03D6"/>
    <w:rsid w:val="006A0549"/>
    <w:rsid w:val="006A0758"/>
    <w:rsid w:val="006A0F4F"/>
    <w:rsid w:val="006A15D5"/>
    <w:rsid w:val="006A16CE"/>
    <w:rsid w:val="006A1803"/>
    <w:rsid w:val="006A18D7"/>
    <w:rsid w:val="006A1995"/>
    <w:rsid w:val="006A19B3"/>
    <w:rsid w:val="006A1A1F"/>
    <w:rsid w:val="006A2E5B"/>
    <w:rsid w:val="006A2FE1"/>
    <w:rsid w:val="006A307C"/>
    <w:rsid w:val="006A30D3"/>
    <w:rsid w:val="006A3141"/>
    <w:rsid w:val="006A3712"/>
    <w:rsid w:val="006A3AA5"/>
    <w:rsid w:val="006A4455"/>
    <w:rsid w:val="006A44F5"/>
    <w:rsid w:val="006A45DC"/>
    <w:rsid w:val="006A46D8"/>
    <w:rsid w:val="006A4A09"/>
    <w:rsid w:val="006A4B5C"/>
    <w:rsid w:val="006A4D39"/>
    <w:rsid w:val="006A4E70"/>
    <w:rsid w:val="006A53D6"/>
    <w:rsid w:val="006A53F0"/>
    <w:rsid w:val="006A546D"/>
    <w:rsid w:val="006A54D4"/>
    <w:rsid w:val="006A56B7"/>
    <w:rsid w:val="006A5933"/>
    <w:rsid w:val="006A5985"/>
    <w:rsid w:val="006A5CBF"/>
    <w:rsid w:val="006A5E9D"/>
    <w:rsid w:val="006A5F37"/>
    <w:rsid w:val="006A5FB9"/>
    <w:rsid w:val="006A6230"/>
    <w:rsid w:val="006A6720"/>
    <w:rsid w:val="006A6783"/>
    <w:rsid w:val="006A69C9"/>
    <w:rsid w:val="006A6C47"/>
    <w:rsid w:val="006A70C9"/>
    <w:rsid w:val="006A7313"/>
    <w:rsid w:val="006A766F"/>
    <w:rsid w:val="006A7839"/>
    <w:rsid w:val="006A78C6"/>
    <w:rsid w:val="006A7AED"/>
    <w:rsid w:val="006A7DD1"/>
    <w:rsid w:val="006A7F4E"/>
    <w:rsid w:val="006A7F6A"/>
    <w:rsid w:val="006B0757"/>
    <w:rsid w:val="006B082C"/>
    <w:rsid w:val="006B088B"/>
    <w:rsid w:val="006B0B86"/>
    <w:rsid w:val="006B13AD"/>
    <w:rsid w:val="006B1735"/>
    <w:rsid w:val="006B1A15"/>
    <w:rsid w:val="006B1D49"/>
    <w:rsid w:val="006B21DA"/>
    <w:rsid w:val="006B2270"/>
    <w:rsid w:val="006B247D"/>
    <w:rsid w:val="006B2B93"/>
    <w:rsid w:val="006B2C8F"/>
    <w:rsid w:val="006B2EB3"/>
    <w:rsid w:val="006B3144"/>
    <w:rsid w:val="006B37E1"/>
    <w:rsid w:val="006B3848"/>
    <w:rsid w:val="006B3BCF"/>
    <w:rsid w:val="006B3E64"/>
    <w:rsid w:val="006B4696"/>
    <w:rsid w:val="006B47F9"/>
    <w:rsid w:val="006B4F22"/>
    <w:rsid w:val="006B56A5"/>
    <w:rsid w:val="006B5AF5"/>
    <w:rsid w:val="006B5B2A"/>
    <w:rsid w:val="006B5BE5"/>
    <w:rsid w:val="006B6018"/>
    <w:rsid w:val="006B6104"/>
    <w:rsid w:val="006B633B"/>
    <w:rsid w:val="006B63E6"/>
    <w:rsid w:val="006B65B6"/>
    <w:rsid w:val="006B6D05"/>
    <w:rsid w:val="006B6D93"/>
    <w:rsid w:val="006B766F"/>
    <w:rsid w:val="006B7854"/>
    <w:rsid w:val="006B7872"/>
    <w:rsid w:val="006B79F4"/>
    <w:rsid w:val="006B7A0E"/>
    <w:rsid w:val="006B7A76"/>
    <w:rsid w:val="006B7D6C"/>
    <w:rsid w:val="006B7F93"/>
    <w:rsid w:val="006C0006"/>
    <w:rsid w:val="006C01EA"/>
    <w:rsid w:val="006C0333"/>
    <w:rsid w:val="006C0439"/>
    <w:rsid w:val="006C06AD"/>
    <w:rsid w:val="006C08A7"/>
    <w:rsid w:val="006C0BBF"/>
    <w:rsid w:val="006C0C3B"/>
    <w:rsid w:val="006C0E56"/>
    <w:rsid w:val="006C215C"/>
    <w:rsid w:val="006C2491"/>
    <w:rsid w:val="006C25F0"/>
    <w:rsid w:val="006C2B65"/>
    <w:rsid w:val="006C2CE0"/>
    <w:rsid w:val="006C33DF"/>
    <w:rsid w:val="006C3605"/>
    <w:rsid w:val="006C3AE3"/>
    <w:rsid w:val="006C3C9E"/>
    <w:rsid w:val="006C3E39"/>
    <w:rsid w:val="006C402E"/>
    <w:rsid w:val="006C41A5"/>
    <w:rsid w:val="006C41AF"/>
    <w:rsid w:val="006C441F"/>
    <w:rsid w:val="006C4564"/>
    <w:rsid w:val="006C47A0"/>
    <w:rsid w:val="006C47BA"/>
    <w:rsid w:val="006C4B83"/>
    <w:rsid w:val="006C4B84"/>
    <w:rsid w:val="006C4D71"/>
    <w:rsid w:val="006C506E"/>
    <w:rsid w:val="006C50E1"/>
    <w:rsid w:val="006C5201"/>
    <w:rsid w:val="006C577B"/>
    <w:rsid w:val="006C5B58"/>
    <w:rsid w:val="006C5D1C"/>
    <w:rsid w:val="006C5D75"/>
    <w:rsid w:val="006C5E60"/>
    <w:rsid w:val="006C5F08"/>
    <w:rsid w:val="006C6315"/>
    <w:rsid w:val="006C6636"/>
    <w:rsid w:val="006C6798"/>
    <w:rsid w:val="006C6901"/>
    <w:rsid w:val="006C6CB1"/>
    <w:rsid w:val="006C6D95"/>
    <w:rsid w:val="006C7098"/>
    <w:rsid w:val="006C7B1F"/>
    <w:rsid w:val="006D03A9"/>
    <w:rsid w:val="006D0427"/>
    <w:rsid w:val="006D04F4"/>
    <w:rsid w:val="006D0846"/>
    <w:rsid w:val="006D0C25"/>
    <w:rsid w:val="006D0C34"/>
    <w:rsid w:val="006D0ED0"/>
    <w:rsid w:val="006D1082"/>
    <w:rsid w:val="006D10F0"/>
    <w:rsid w:val="006D13A1"/>
    <w:rsid w:val="006D1434"/>
    <w:rsid w:val="006D15DC"/>
    <w:rsid w:val="006D1988"/>
    <w:rsid w:val="006D199E"/>
    <w:rsid w:val="006D1BCB"/>
    <w:rsid w:val="006D1CBF"/>
    <w:rsid w:val="006D1F9B"/>
    <w:rsid w:val="006D2111"/>
    <w:rsid w:val="006D2437"/>
    <w:rsid w:val="006D294C"/>
    <w:rsid w:val="006D2A54"/>
    <w:rsid w:val="006D2DE2"/>
    <w:rsid w:val="006D3161"/>
    <w:rsid w:val="006D3292"/>
    <w:rsid w:val="006D38F2"/>
    <w:rsid w:val="006D3B6C"/>
    <w:rsid w:val="006D3CDF"/>
    <w:rsid w:val="006D3E02"/>
    <w:rsid w:val="006D3FE7"/>
    <w:rsid w:val="006D419E"/>
    <w:rsid w:val="006D4259"/>
    <w:rsid w:val="006D4289"/>
    <w:rsid w:val="006D4510"/>
    <w:rsid w:val="006D4512"/>
    <w:rsid w:val="006D4938"/>
    <w:rsid w:val="006D49E2"/>
    <w:rsid w:val="006D4DBA"/>
    <w:rsid w:val="006D4E02"/>
    <w:rsid w:val="006D5636"/>
    <w:rsid w:val="006D5A10"/>
    <w:rsid w:val="006D5B67"/>
    <w:rsid w:val="006D5C91"/>
    <w:rsid w:val="006D6005"/>
    <w:rsid w:val="006D61AE"/>
    <w:rsid w:val="006D6533"/>
    <w:rsid w:val="006D6670"/>
    <w:rsid w:val="006D6980"/>
    <w:rsid w:val="006D6AC3"/>
    <w:rsid w:val="006D6B02"/>
    <w:rsid w:val="006D6C91"/>
    <w:rsid w:val="006D6D78"/>
    <w:rsid w:val="006D7010"/>
    <w:rsid w:val="006D703F"/>
    <w:rsid w:val="006D719D"/>
    <w:rsid w:val="006D74A6"/>
    <w:rsid w:val="006D74F1"/>
    <w:rsid w:val="006D7656"/>
    <w:rsid w:val="006D771F"/>
    <w:rsid w:val="006D773E"/>
    <w:rsid w:val="006D7811"/>
    <w:rsid w:val="006D7ABC"/>
    <w:rsid w:val="006D7D0B"/>
    <w:rsid w:val="006D7F39"/>
    <w:rsid w:val="006E00DE"/>
    <w:rsid w:val="006E03A1"/>
    <w:rsid w:val="006E096C"/>
    <w:rsid w:val="006E0BC0"/>
    <w:rsid w:val="006E0C71"/>
    <w:rsid w:val="006E1152"/>
    <w:rsid w:val="006E1488"/>
    <w:rsid w:val="006E15A7"/>
    <w:rsid w:val="006E161D"/>
    <w:rsid w:val="006E17F2"/>
    <w:rsid w:val="006E1AA5"/>
    <w:rsid w:val="006E1D49"/>
    <w:rsid w:val="006E2201"/>
    <w:rsid w:val="006E2958"/>
    <w:rsid w:val="006E2CA3"/>
    <w:rsid w:val="006E33BB"/>
    <w:rsid w:val="006E388E"/>
    <w:rsid w:val="006E3BC2"/>
    <w:rsid w:val="006E3D42"/>
    <w:rsid w:val="006E41FA"/>
    <w:rsid w:val="006E43C8"/>
    <w:rsid w:val="006E460F"/>
    <w:rsid w:val="006E463F"/>
    <w:rsid w:val="006E4647"/>
    <w:rsid w:val="006E4BA6"/>
    <w:rsid w:val="006E4D45"/>
    <w:rsid w:val="006E4D4F"/>
    <w:rsid w:val="006E4DB8"/>
    <w:rsid w:val="006E4E4F"/>
    <w:rsid w:val="006E504E"/>
    <w:rsid w:val="006E513D"/>
    <w:rsid w:val="006E514B"/>
    <w:rsid w:val="006E51DD"/>
    <w:rsid w:val="006E554C"/>
    <w:rsid w:val="006E5C12"/>
    <w:rsid w:val="006E5C81"/>
    <w:rsid w:val="006E5DC5"/>
    <w:rsid w:val="006E5EF3"/>
    <w:rsid w:val="006E683A"/>
    <w:rsid w:val="006E699D"/>
    <w:rsid w:val="006E6BE7"/>
    <w:rsid w:val="006E6CC0"/>
    <w:rsid w:val="006E6EB3"/>
    <w:rsid w:val="006E7266"/>
    <w:rsid w:val="006E74A5"/>
    <w:rsid w:val="006E75D7"/>
    <w:rsid w:val="006E771A"/>
    <w:rsid w:val="006E79A9"/>
    <w:rsid w:val="006F0789"/>
    <w:rsid w:val="006F0B59"/>
    <w:rsid w:val="006F1257"/>
    <w:rsid w:val="006F1486"/>
    <w:rsid w:val="006F1909"/>
    <w:rsid w:val="006F1AC2"/>
    <w:rsid w:val="006F1F73"/>
    <w:rsid w:val="006F1F76"/>
    <w:rsid w:val="006F1FA4"/>
    <w:rsid w:val="006F2052"/>
    <w:rsid w:val="006F208A"/>
    <w:rsid w:val="006F24DF"/>
    <w:rsid w:val="006F2891"/>
    <w:rsid w:val="006F295D"/>
    <w:rsid w:val="006F2999"/>
    <w:rsid w:val="006F3348"/>
    <w:rsid w:val="006F34F4"/>
    <w:rsid w:val="006F3A2D"/>
    <w:rsid w:val="006F3DC3"/>
    <w:rsid w:val="006F3E2C"/>
    <w:rsid w:val="006F3F1F"/>
    <w:rsid w:val="006F4042"/>
    <w:rsid w:val="006F445C"/>
    <w:rsid w:val="006F4B31"/>
    <w:rsid w:val="006F548A"/>
    <w:rsid w:val="006F5919"/>
    <w:rsid w:val="006F5C93"/>
    <w:rsid w:val="006F61C2"/>
    <w:rsid w:val="006F61F7"/>
    <w:rsid w:val="006F6800"/>
    <w:rsid w:val="006F6AD1"/>
    <w:rsid w:val="006F6DAD"/>
    <w:rsid w:val="006F6F86"/>
    <w:rsid w:val="006F71B8"/>
    <w:rsid w:val="006F71D9"/>
    <w:rsid w:val="006F7490"/>
    <w:rsid w:val="006F7536"/>
    <w:rsid w:val="006F7852"/>
    <w:rsid w:val="006F7981"/>
    <w:rsid w:val="006F7CEE"/>
    <w:rsid w:val="006F7FB9"/>
    <w:rsid w:val="00700BE5"/>
    <w:rsid w:val="00700C05"/>
    <w:rsid w:val="00700E71"/>
    <w:rsid w:val="00700F2D"/>
    <w:rsid w:val="00701241"/>
    <w:rsid w:val="007013CD"/>
    <w:rsid w:val="00701A6D"/>
    <w:rsid w:val="00701B0D"/>
    <w:rsid w:val="00701B5B"/>
    <w:rsid w:val="00701D8A"/>
    <w:rsid w:val="0070267D"/>
    <w:rsid w:val="0070272B"/>
    <w:rsid w:val="007027A4"/>
    <w:rsid w:val="00702A83"/>
    <w:rsid w:val="00702C0F"/>
    <w:rsid w:val="0070311F"/>
    <w:rsid w:val="00703889"/>
    <w:rsid w:val="007038C4"/>
    <w:rsid w:val="007038FC"/>
    <w:rsid w:val="00703A26"/>
    <w:rsid w:val="00703F6F"/>
    <w:rsid w:val="00704221"/>
    <w:rsid w:val="0070462B"/>
    <w:rsid w:val="007048A7"/>
    <w:rsid w:val="00704979"/>
    <w:rsid w:val="00704BD4"/>
    <w:rsid w:val="00704CD1"/>
    <w:rsid w:val="00704D6E"/>
    <w:rsid w:val="00704FB0"/>
    <w:rsid w:val="0070547D"/>
    <w:rsid w:val="007055D8"/>
    <w:rsid w:val="00705C1D"/>
    <w:rsid w:val="00705DC4"/>
    <w:rsid w:val="00705E64"/>
    <w:rsid w:val="0070652F"/>
    <w:rsid w:val="00706631"/>
    <w:rsid w:val="0070669E"/>
    <w:rsid w:val="00706838"/>
    <w:rsid w:val="00706B3C"/>
    <w:rsid w:val="00706BE0"/>
    <w:rsid w:val="00706E58"/>
    <w:rsid w:val="00707281"/>
    <w:rsid w:val="00707577"/>
    <w:rsid w:val="00707602"/>
    <w:rsid w:val="007076B0"/>
    <w:rsid w:val="0070774D"/>
    <w:rsid w:val="00707A8B"/>
    <w:rsid w:val="00707F73"/>
    <w:rsid w:val="00710035"/>
    <w:rsid w:val="0071022B"/>
    <w:rsid w:val="00710296"/>
    <w:rsid w:val="007102D2"/>
    <w:rsid w:val="00710310"/>
    <w:rsid w:val="0071057F"/>
    <w:rsid w:val="00710955"/>
    <w:rsid w:val="00710BC9"/>
    <w:rsid w:val="00710DC3"/>
    <w:rsid w:val="0071100F"/>
    <w:rsid w:val="00712495"/>
    <w:rsid w:val="00712575"/>
    <w:rsid w:val="0071285E"/>
    <w:rsid w:val="00712B22"/>
    <w:rsid w:val="00712B31"/>
    <w:rsid w:val="00712B4B"/>
    <w:rsid w:val="00712CB7"/>
    <w:rsid w:val="00712ED9"/>
    <w:rsid w:val="00712F75"/>
    <w:rsid w:val="00712FB7"/>
    <w:rsid w:val="007130B5"/>
    <w:rsid w:val="007131EA"/>
    <w:rsid w:val="00713473"/>
    <w:rsid w:val="00713BB0"/>
    <w:rsid w:val="00713C77"/>
    <w:rsid w:val="00713F8E"/>
    <w:rsid w:val="0071423D"/>
    <w:rsid w:val="007144B2"/>
    <w:rsid w:val="00714561"/>
    <w:rsid w:val="007147E5"/>
    <w:rsid w:val="0071481F"/>
    <w:rsid w:val="00714822"/>
    <w:rsid w:val="00714AF3"/>
    <w:rsid w:val="00715413"/>
    <w:rsid w:val="007158E2"/>
    <w:rsid w:val="00715989"/>
    <w:rsid w:val="00715F25"/>
    <w:rsid w:val="00716140"/>
    <w:rsid w:val="007163E3"/>
    <w:rsid w:val="0071652F"/>
    <w:rsid w:val="0071699D"/>
    <w:rsid w:val="00716ABE"/>
    <w:rsid w:val="00716B28"/>
    <w:rsid w:val="007172D0"/>
    <w:rsid w:val="0071741D"/>
    <w:rsid w:val="007175D4"/>
    <w:rsid w:val="00717A36"/>
    <w:rsid w:val="00717CE1"/>
    <w:rsid w:val="00717CF9"/>
    <w:rsid w:val="007204B5"/>
    <w:rsid w:val="00720C5C"/>
    <w:rsid w:val="007214B7"/>
    <w:rsid w:val="007216C7"/>
    <w:rsid w:val="007217F5"/>
    <w:rsid w:val="00721A54"/>
    <w:rsid w:val="00721C12"/>
    <w:rsid w:val="00721DDB"/>
    <w:rsid w:val="00722025"/>
    <w:rsid w:val="00722054"/>
    <w:rsid w:val="007221C5"/>
    <w:rsid w:val="00722632"/>
    <w:rsid w:val="0072282C"/>
    <w:rsid w:val="00722B56"/>
    <w:rsid w:val="00722BE6"/>
    <w:rsid w:val="00722D6F"/>
    <w:rsid w:val="00723280"/>
    <w:rsid w:val="00723285"/>
    <w:rsid w:val="00723459"/>
    <w:rsid w:val="00723475"/>
    <w:rsid w:val="00723A13"/>
    <w:rsid w:val="00723AE1"/>
    <w:rsid w:val="00723B7F"/>
    <w:rsid w:val="00724019"/>
    <w:rsid w:val="007242BC"/>
    <w:rsid w:val="007244DF"/>
    <w:rsid w:val="007246F4"/>
    <w:rsid w:val="007250AD"/>
    <w:rsid w:val="00725210"/>
    <w:rsid w:val="00725440"/>
    <w:rsid w:val="007255D2"/>
    <w:rsid w:val="007256B0"/>
    <w:rsid w:val="007259D1"/>
    <w:rsid w:val="0072605D"/>
    <w:rsid w:val="00726519"/>
    <w:rsid w:val="0072663B"/>
    <w:rsid w:val="007268AF"/>
    <w:rsid w:val="00726C6F"/>
    <w:rsid w:val="007275DB"/>
    <w:rsid w:val="007277F5"/>
    <w:rsid w:val="007278A5"/>
    <w:rsid w:val="00727996"/>
    <w:rsid w:val="00727AEB"/>
    <w:rsid w:val="00727B35"/>
    <w:rsid w:val="00727C38"/>
    <w:rsid w:val="00730030"/>
    <w:rsid w:val="0073096F"/>
    <w:rsid w:val="00730B8A"/>
    <w:rsid w:val="0073116A"/>
    <w:rsid w:val="00731588"/>
    <w:rsid w:val="007316B2"/>
    <w:rsid w:val="00731C3D"/>
    <w:rsid w:val="00731EEC"/>
    <w:rsid w:val="0073215E"/>
    <w:rsid w:val="00732171"/>
    <w:rsid w:val="007322CC"/>
    <w:rsid w:val="0073247F"/>
    <w:rsid w:val="0073278D"/>
    <w:rsid w:val="00732880"/>
    <w:rsid w:val="007333DF"/>
    <w:rsid w:val="007337B8"/>
    <w:rsid w:val="007338D1"/>
    <w:rsid w:val="007339AB"/>
    <w:rsid w:val="00733BE5"/>
    <w:rsid w:val="0073428B"/>
    <w:rsid w:val="0073447D"/>
    <w:rsid w:val="00734866"/>
    <w:rsid w:val="007348D4"/>
    <w:rsid w:val="0073520A"/>
    <w:rsid w:val="007355B5"/>
    <w:rsid w:val="007357ED"/>
    <w:rsid w:val="0073591F"/>
    <w:rsid w:val="00735A76"/>
    <w:rsid w:val="00735B10"/>
    <w:rsid w:val="007363AA"/>
    <w:rsid w:val="00736B98"/>
    <w:rsid w:val="00736CA2"/>
    <w:rsid w:val="00736DD7"/>
    <w:rsid w:val="00736F9D"/>
    <w:rsid w:val="007376CF"/>
    <w:rsid w:val="00737861"/>
    <w:rsid w:val="00737895"/>
    <w:rsid w:val="00737B0B"/>
    <w:rsid w:val="00737E09"/>
    <w:rsid w:val="0074014C"/>
    <w:rsid w:val="0074048A"/>
    <w:rsid w:val="00740495"/>
    <w:rsid w:val="007407F6"/>
    <w:rsid w:val="0074087C"/>
    <w:rsid w:val="0074088F"/>
    <w:rsid w:val="00740BEF"/>
    <w:rsid w:val="00740C9E"/>
    <w:rsid w:val="00740EE8"/>
    <w:rsid w:val="0074114B"/>
    <w:rsid w:val="0074120A"/>
    <w:rsid w:val="00741534"/>
    <w:rsid w:val="007416A1"/>
    <w:rsid w:val="00741A8E"/>
    <w:rsid w:val="00741B45"/>
    <w:rsid w:val="00741EB0"/>
    <w:rsid w:val="00742021"/>
    <w:rsid w:val="00742287"/>
    <w:rsid w:val="00742308"/>
    <w:rsid w:val="00742774"/>
    <w:rsid w:val="00742A2D"/>
    <w:rsid w:val="00742D84"/>
    <w:rsid w:val="00742F7F"/>
    <w:rsid w:val="00742FB5"/>
    <w:rsid w:val="007431DE"/>
    <w:rsid w:val="0074321B"/>
    <w:rsid w:val="0074343E"/>
    <w:rsid w:val="00743B06"/>
    <w:rsid w:val="00743C42"/>
    <w:rsid w:val="00743D9C"/>
    <w:rsid w:val="00743EB8"/>
    <w:rsid w:val="007440F6"/>
    <w:rsid w:val="007444B8"/>
    <w:rsid w:val="007447FB"/>
    <w:rsid w:val="00744A0E"/>
    <w:rsid w:val="00744A91"/>
    <w:rsid w:val="00744CB4"/>
    <w:rsid w:val="00744CE7"/>
    <w:rsid w:val="00744DB4"/>
    <w:rsid w:val="00744F36"/>
    <w:rsid w:val="007452AE"/>
    <w:rsid w:val="00745546"/>
    <w:rsid w:val="00745691"/>
    <w:rsid w:val="00745866"/>
    <w:rsid w:val="0074597F"/>
    <w:rsid w:val="00745C5C"/>
    <w:rsid w:val="00745D25"/>
    <w:rsid w:val="00745DF5"/>
    <w:rsid w:val="00745E42"/>
    <w:rsid w:val="007461EC"/>
    <w:rsid w:val="00746223"/>
    <w:rsid w:val="0074622F"/>
    <w:rsid w:val="00746376"/>
    <w:rsid w:val="00746408"/>
    <w:rsid w:val="00746558"/>
    <w:rsid w:val="00746F01"/>
    <w:rsid w:val="00747628"/>
    <w:rsid w:val="00747AD9"/>
    <w:rsid w:val="00747C78"/>
    <w:rsid w:val="0075015B"/>
    <w:rsid w:val="00750968"/>
    <w:rsid w:val="007509B5"/>
    <w:rsid w:val="007509FB"/>
    <w:rsid w:val="00750BE5"/>
    <w:rsid w:val="00750C03"/>
    <w:rsid w:val="00750C58"/>
    <w:rsid w:val="00750E46"/>
    <w:rsid w:val="00750E72"/>
    <w:rsid w:val="007515B4"/>
    <w:rsid w:val="007517F7"/>
    <w:rsid w:val="00751A5B"/>
    <w:rsid w:val="007520BC"/>
    <w:rsid w:val="00752144"/>
    <w:rsid w:val="00752422"/>
    <w:rsid w:val="007524C6"/>
    <w:rsid w:val="0075252B"/>
    <w:rsid w:val="007526C3"/>
    <w:rsid w:val="00752714"/>
    <w:rsid w:val="007528C2"/>
    <w:rsid w:val="00752B4C"/>
    <w:rsid w:val="00752D5B"/>
    <w:rsid w:val="00753083"/>
    <w:rsid w:val="00753382"/>
    <w:rsid w:val="00753533"/>
    <w:rsid w:val="00753672"/>
    <w:rsid w:val="00753851"/>
    <w:rsid w:val="00753E38"/>
    <w:rsid w:val="00753ED2"/>
    <w:rsid w:val="007543E6"/>
    <w:rsid w:val="007547BB"/>
    <w:rsid w:val="00754919"/>
    <w:rsid w:val="007549FD"/>
    <w:rsid w:val="00755057"/>
    <w:rsid w:val="007551E1"/>
    <w:rsid w:val="0075581D"/>
    <w:rsid w:val="0075590D"/>
    <w:rsid w:val="00755A23"/>
    <w:rsid w:val="00755C1A"/>
    <w:rsid w:val="00756313"/>
    <w:rsid w:val="00756514"/>
    <w:rsid w:val="00756AB5"/>
    <w:rsid w:val="00757046"/>
    <w:rsid w:val="00757285"/>
    <w:rsid w:val="00757460"/>
    <w:rsid w:val="00757854"/>
    <w:rsid w:val="0075787F"/>
    <w:rsid w:val="00757913"/>
    <w:rsid w:val="00757988"/>
    <w:rsid w:val="007579B7"/>
    <w:rsid w:val="00757A24"/>
    <w:rsid w:val="00757AE9"/>
    <w:rsid w:val="00757B5F"/>
    <w:rsid w:val="00757E84"/>
    <w:rsid w:val="00757EDF"/>
    <w:rsid w:val="00757FA5"/>
    <w:rsid w:val="00760363"/>
    <w:rsid w:val="007607E9"/>
    <w:rsid w:val="00760A4F"/>
    <w:rsid w:val="00760A8E"/>
    <w:rsid w:val="00760B74"/>
    <w:rsid w:val="00761010"/>
    <w:rsid w:val="00761265"/>
    <w:rsid w:val="00761311"/>
    <w:rsid w:val="00761664"/>
    <w:rsid w:val="00761D5C"/>
    <w:rsid w:val="00762009"/>
    <w:rsid w:val="00762182"/>
    <w:rsid w:val="007625BB"/>
    <w:rsid w:val="00762758"/>
    <w:rsid w:val="0076296A"/>
    <w:rsid w:val="00763024"/>
    <w:rsid w:val="007634E1"/>
    <w:rsid w:val="00763538"/>
    <w:rsid w:val="0076357C"/>
    <w:rsid w:val="00763592"/>
    <w:rsid w:val="007635A1"/>
    <w:rsid w:val="0076416E"/>
    <w:rsid w:val="007642BE"/>
    <w:rsid w:val="00764772"/>
    <w:rsid w:val="0076489B"/>
    <w:rsid w:val="00764908"/>
    <w:rsid w:val="00764D42"/>
    <w:rsid w:val="00764DC8"/>
    <w:rsid w:val="00765059"/>
    <w:rsid w:val="0076515A"/>
    <w:rsid w:val="0076535C"/>
    <w:rsid w:val="007654B3"/>
    <w:rsid w:val="00765587"/>
    <w:rsid w:val="0076559D"/>
    <w:rsid w:val="00765697"/>
    <w:rsid w:val="0076579A"/>
    <w:rsid w:val="0076584D"/>
    <w:rsid w:val="00765CDB"/>
    <w:rsid w:val="00765CF2"/>
    <w:rsid w:val="00766336"/>
    <w:rsid w:val="00766716"/>
    <w:rsid w:val="007668DF"/>
    <w:rsid w:val="00766F58"/>
    <w:rsid w:val="007670B0"/>
    <w:rsid w:val="007674C7"/>
    <w:rsid w:val="0076760C"/>
    <w:rsid w:val="00767C0A"/>
    <w:rsid w:val="00767C1E"/>
    <w:rsid w:val="00770145"/>
    <w:rsid w:val="00770257"/>
    <w:rsid w:val="00770738"/>
    <w:rsid w:val="0077089F"/>
    <w:rsid w:val="007709CC"/>
    <w:rsid w:val="00770A78"/>
    <w:rsid w:val="00771066"/>
    <w:rsid w:val="00771BEA"/>
    <w:rsid w:val="0077214D"/>
    <w:rsid w:val="007725C7"/>
    <w:rsid w:val="007726A8"/>
    <w:rsid w:val="00772CED"/>
    <w:rsid w:val="00772D00"/>
    <w:rsid w:val="007731E0"/>
    <w:rsid w:val="00773399"/>
    <w:rsid w:val="0077345B"/>
    <w:rsid w:val="00773691"/>
    <w:rsid w:val="00773A2F"/>
    <w:rsid w:val="00773AB6"/>
    <w:rsid w:val="0077403C"/>
    <w:rsid w:val="007745EA"/>
    <w:rsid w:val="007748DF"/>
    <w:rsid w:val="007748E8"/>
    <w:rsid w:val="00774971"/>
    <w:rsid w:val="00774ACB"/>
    <w:rsid w:val="00774B7E"/>
    <w:rsid w:val="00774C75"/>
    <w:rsid w:val="00774DE8"/>
    <w:rsid w:val="00775034"/>
    <w:rsid w:val="0077560E"/>
    <w:rsid w:val="007757B0"/>
    <w:rsid w:val="0077582C"/>
    <w:rsid w:val="00775871"/>
    <w:rsid w:val="00775A0A"/>
    <w:rsid w:val="00775FF7"/>
    <w:rsid w:val="007764E4"/>
    <w:rsid w:val="007765B2"/>
    <w:rsid w:val="0077669C"/>
    <w:rsid w:val="007767D2"/>
    <w:rsid w:val="007767DC"/>
    <w:rsid w:val="00776C29"/>
    <w:rsid w:val="00777334"/>
    <w:rsid w:val="00777909"/>
    <w:rsid w:val="0077797B"/>
    <w:rsid w:val="00777ABF"/>
    <w:rsid w:val="00777B65"/>
    <w:rsid w:val="00777C28"/>
    <w:rsid w:val="00777E9A"/>
    <w:rsid w:val="0078014A"/>
    <w:rsid w:val="007801A6"/>
    <w:rsid w:val="007801A7"/>
    <w:rsid w:val="007803DA"/>
    <w:rsid w:val="00780960"/>
    <w:rsid w:val="00780A99"/>
    <w:rsid w:val="00780BEB"/>
    <w:rsid w:val="0078122D"/>
    <w:rsid w:val="00781375"/>
    <w:rsid w:val="00781456"/>
    <w:rsid w:val="00781687"/>
    <w:rsid w:val="007817CD"/>
    <w:rsid w:val="007819B1"/>
    <w:rsid w:val="00781DB7"/>
    <w:rsid w:val="00782497"/>
    <w:rsid w:val="00782516"/>
    <w:rsid w:val="00782DA9"/>
    <w:rsid w:val="00782E44"/>
    <w:rsid w:val="00782F0F"/>
    <w:rsid w:val="007832E0"/>
    <w:rsid w:val="00783591"/>
    <w:rsid w:val="00783794"/>
    <w:rsid w:val="007838A0"/>
    <w:rsid w:val="00783A9B"/>
    <w:rsid w:val="00783B2F"/>
    <w:rsid w:val="00783E42"/>
    <w:rsid w:val="00784299"/>
    <w:rsid w:val="00784734"/>
    <w:rsid w:val="00784AD1"/>
    <w:rsid w:val="00784CA8"/>
    <w:rsid w:val="00785023"/>
    <w:rsid w:val="0078551E"/>
    <w:rsid w:val="00785782"/>
    <w:rsid w:val="00785836"/>
    <w:rsid w:val="00785BA8"/>
    <w:rsid w:val="00785D11"/>
    <w:rsid w:val="0078619A"/>
    <w:rsid w:val="007861E3"/>
    <w:rsid w:val="007863BD"/>
    <w:rsid w:val="007863F6"/>
    <w:rsid w:val="0078674A"/>
    <w:rsid w:val="00786851"/>
    <w:rsid w:val="00786BBE"/>
    <w:rsid w:val="00786D18"/>
    <w:rsid w:val="00786EBB"/>
    <w:rsid w:val="007871EA"/>
    <w:rsid w:val="00787206"/>
    <w:rsid w:val="0078730B"/>
    <w:rsid w:val="00787591"/>
    <w:rsid w:val="00787681"/>
    <w:rsid w:val="00787811"/>
    <w:rsid w:val="007878FF"/>
    <w:rsid w:val="00787A21"/>
    <w:rsid w:val="00787A92"/>
    <w:rsid w:val="00787C26"/>
    <w:rsid w:val="00787FD1"/>
    <w:rsid w:val="0079002A"/>
    <w:rsid w:val="0079011E"/>
    <w:rsid w:val="0079038D"/>
    <w:rsid w:val="007904B7"/>
    <w:rsid w:val="00790547"/>
    <w:rsid w:val="0079059B"/>
    <w:rsid w:val="00790621"/>
    <w:rsid w:val="007906F9"/>
    <w:rsid w:val="0079079A"/>
    <w:rsid w:val="007908AA"/>
    <w:rsid w:val="00790B58"/>
    <w:rsid w:val="00790F9F"/>
    <w:rsid w:val="00790FA5"/>
    <w:rsid w:val="00791008"/>
    <w:rsid w:val="00791186"/>
    <w:rsid w:val="007917A3"/>
    <w:rsid w:val="00791857"/>
    <w:rsid w:val="00791884"/>
    <w:rsid w:val="00791977"/>
    <w:rsid w:val="00791DDA"/>
    <w:rsid w:val="00791DF1"/>
    <w:rsid w:val="00791EAA"/>
    <w:rsid w:val="0079209F"/>
    <w:rsid w:val="00792475"/>
    <w:rsid w:val="007924C3"/>
    <w:rsid w:val="007925C2"/>
    <w:rsid w:val="0079274E"/>
    <w:rsid w:val="0079299A"/>
    <w:rsid w:val="00792A1A"/>
    <w:rsid w:val="00792AC9"/>
    <w:rsid w:val="0079310B"/>
    <w:rsid w:val="00793190"/>
    <w:rsid w:val="007931E6"/>
    <w:rsid w:val="007933B7"/>
    <w:rsid w:val="0079360B"/>
    <w:rsid w:val="0079373C"/>
    <w:rsid w:val="007938EA"/>
    <w:rsid w:val="00793AA3"/>
    <w:rsid w:val="007943B5"/>
    <w:rsid w:val="007943C2"/>
    <w:rsid w:val="00794601"/>
    <w:rsid w:val="00794FAD"/>
    <w:rsid w:val="00795019"/>
    <w:rsid w:val="007950D5"/>
    <w:rsid w:val="007956DA"/>
    <w:rsid w:val="00795769"/>
    <w:rsid w:val="00795906"/>
    <w:rsid w:val="00795C26"/>
    <w:rsid w:val="00795E1D"/>
    <w:rsid w:val="00795E2B"/>
    <w:rsid w:val="00795E4E"/>
    <w:rsid w:val="00796048"/>
    <w:rsid w:val="0079612A"/>
    <w:rsid w:val="0079615C"/>
    <w:rsid w:val="00796455"/>
    <w:rsid w:val="0079666E"/>
    <w:rsid w:val="0079680F"/>
    <w:rsid w:val="0079681B"/>
    <w:rsid w:val="00796AD1"/>
    <w:rsid w:val="00796D2C"/>
    <w:rsid w:val="0079746C"/>
    <w:rsid w:val="00797484"/>
    <w:rsid w:val="00797562"/>
    <w:rsid w:val="00797710"/>
    <w:rsid w:val="00797ADF"/>
    <w:rsid w:val="00797F81"/>
    <w:rsid w:val="007A03C3"/>
    <w:rsid w:val="007A03C4"/>
    <w:rsid w:val="007A073F"/>
    <w:rsid w:val="007A0752"/>
    <w:rsid w:val="007A1655"/>
    <w:rsid w:val="007A1740"/>
    <w:rsid w:val="007A1915"/>
    <w:rsid w:val="007A1995"/>
    <w:rsid w:val="007A1A43"/>
    <w:rsid w:val="007A1C4D"/>
    <w:rsid w:val="007A1DD2"/>
    <w:rsid w:val="007A214E"/>
    <w:rsid w:val="007A2705"/>
    <w:rsid w:val="007A277F"/>
    <w:rsid w:val="007A287E"/>
    <w:rsid w:val="007A29DB"/>
    <w:rsid w:val="007A2EA5"/>
    <w:rsid w:val="007A2EC9"/>
    <w:rsid w:val="007A305B"/>
    <w:rsid w:val="007A3088"/>
    <w:rsid w:val="007A3391"/>
    <w:rsid w:val="007A3581"/>
    <w:rsid w:val="007A36F7"/>
    <w:rsid w:val="007A3FC6"/>
    <w:rsid w:val="007A4100"/>
    <w:rsid w:val="007A47D4"/>
    <w:rsid w:val="007A4A52"/>
    <w:rsid w:val="007A506A"/>
    <w:rsid w:val="007A5321"/>
    <w:rsid w:val="007A5531"/>
    <w:rsid w:val="007A589A"/>
    <w:rsid w:val="007A5B4A"/>
    <w:rsid w:val="007A6002"/>
    <w:rsid w:val="007A617C"/>
    <w:rsid w:val="007A6261"/>
    <w:rsid w:val="007A64F9"/>
    <w:rsid w:val="007A69B2"/>
    <w:rsid w:val="007A6A29"/>
    <w:rsid w:val="007A6C6F"/>
    <w:rsid w:val="007A711E"/>
    <w:rsid w:val="007A73C2"/>
    <w:rsid w:val="007A74AC"/>
    <w:rsid w:val="007A75C0"/>
    <w:rsid w:val="007A79E5"/>
    <w:rsid w:val="007A7A4A"/>
    <w:rsid w:val="007A7BEE"/>
    <w:rsid w:val="007A7C26"/>
    <w:rsid w:val="007A7C80"/>
    <w:rsid w:val="007A7FA0"/>
    <w:rsid w:val="007B005A"/>
    <w:rsid w:val="007B023A"/>
    <w:rsid w:val="007B083A"/>
    <w:rsid w:val="007B08C3"/>
    <w:rsid w:val="007B0E4C"/>
    <w:rsid w:val="007B10DC"/>
    <w:rsid w:val="007B13BD"/>
    <w:rsid w:val="007B16D4"/>
    <w:rsid w:val="007B196C"/>
    <w:rsid w:val="007B1AB2"/>
    <w:rsid w:val="007B1B17"/>
    <w:rsid w:val="007B1F65"/>
    <w:rsid w:val="007B20E8"/>
    <w:rsid w:val="007B234C"/>
    <w:rsid w:val="007B2521"/>
    <w:rsid w:val="007B2C6D"/>
    <w:rsid w:val="007B2E63"/>
    <w:rsid w:val="007B2F35"/>
    <w:rsid w:val="007B30B8"/>
    <w:rsid w:val="007B30D9"/>
    <w:rsid w:val="007B3479"/>
    <w:rsid w:val="007B37AF"/>
    <w:rsid w:val="007B3914"/>
    <w:rsid w:val="007B3B43"/>
    <w:rsid w:val="007B3CEC"/>
    <w:rsid w:val="007B3D41"/>
    <w:rsid w:val="007B3EC6"/>
    <w:rsid w:val="007B3FFE"/>
    <w:rsid w:val="007B40C2"/>
    <w:rsid w:val="007B4C8D"/>
    <w:rsid w:val="007B4CCA"/>
    <w:rsid w:val="007B4F2F"/>
    <w:rsid w:val="007B50DA"/>
    <w:rsid w:val="007B511E"/>
    <w:rsid w:val="007B512F"/>
    <w:rsid w:val="007B526E"/>
    <w:rsid w:val="007B570C"/>
    <w:rsid w:val="007B5C76"/>
    <w:rsid w:val="007B5DFA"/>
    <w:rsid w:val="007B5E35"/>
    <w:rsid w:val="007B6282"/>
    <w:rsid w:val="007B639E"/>
    <w:rsid w:val="007B66F6"/>
    <w:rsid w:val="007B679B"/>
    <w:rsid w:val="007B6833"/>
    <w:rsid w:val="007B6B46"/>
    <w:rsid w:val="007B6CA6"/>
    <w:rsid w:val="007B6E04"/>
    <w:rsid w:val="007B7470"/>
    <w:rsid w:val="007B7572"/>
    <w:rsid w:val="007B7894"/>
    <w:rsid w:val="007B7A96"/>
    <w:rsid w:val="007B7C3A"/>
    <w:rsid w:val="007B7C91"/>
    <w:rsid w:val="007C007B"/>
    <w:rsid w:val="007C042F"/>
    <w:rsid w:val="007C08B2"/>
    <w:rsid w:val="007C118C"/>
    <w:rsid w:val="007C12E4"/>
    <w:rsid w:val="007C145A"/>
    <w:rsid w:val="007C15FF"/>
    <w:rsid w:val="007C190F"/>
    <w:rsid w:val="007C1B71"/>
    <w:rsid w:val="007C1C7D"/>
    <w:rsid w:val="007C1CF0"/>
    <w:rsid w:val="007C1EAC"/>
    <w:rsid w:val="007C210E"/>
    <w:rsid w:val="007C2156"/>
    <w:rsid w:val="007C22CB"/>
    <w:rsid w:val="007C2960"/>
    <w:rsid w:val="007C2ED6"/>
    <w:rsid w:val="007C3B17"/>
    <w:rsid w:val="007C3E3C"/>
    <w:rsid w:val="007C3EAE"/>
    <w:rsid w:val="007C4008"/>
    <w:rsid w:val="007C40FE"/>
    <w:rsid w:val="007C4290"/>
    <w:rsid w:val="007C43CF"/>
    <w:rsid w:val="007C4720"/>
    <w:rsid w:val="007C4B06"/>
    <w:rsid w:val="007C4C9F"/>
    <w:rsid w:val="007C4E80"/>
    <w:rsid w:val="007C5186"/>
    <w:rsid w:val="007C51A9"/>
    <w:rsid w:val="007C51CC"/>
    <w:rsid w:val="007C5753"/>
    <w:rsid w:val="007C5899"/>
    <w:rsid w:val="007C5B4B"/>
    <w:rsid w:val="007C5CDB"/>
    <w:rsid w:val="007C5F24"/>
    <w:rsid w:val="007C60EA"/>
    <w:rsid w:val="007C6167"/>
    <w:rsid w:val="007C63CA"/>
    <w:rsid w:val="007C64D9"/>
    <w:rsid w:val="007C6544"/>
    <w:rsid w:val="007C6618"/>
    <w:rsid w:val="007C6A01"/>
    <w:rsid w:val="007C6A2F"/>
    <w:rsid w:val="007C6B35"/>
    <w:rsid w:val="007C6C39"/>
    <w:rsid w:val="007C6F86"/>
    <w:rsid w:val="007C7246"/>
    <w:rsid w:val="007C778E"/>
    <w:rsid w:val="007C78B8"/>
    <w:rsid w:val="007C7933"/>
    <w:rsid w:val="007C7ADF"/>
    <w:rsid w:val="007C7B6D"/>
    <w:rsid w:val="007C7B7D"/>
    <w:rsid w:val="007C7CEC"/>
    <w:rsid w:val="007D02F6"/>
    <w:rsid w:val="007D04B8"/>
    <w:rsid w:val="007D0513"/>
    <w:rsid w:val="007D05A2"/>
    <w:rsid w:val="007D0665"/>
    <w:rsid w:val="007D0758"/>
    <w:rsid w:val="007D0B4A"/>
    <w:rsid w:val="007D0B79"/>
    <w:rsid w:val="007D0BD7"/>
    <w:rsid w:val="007D0E81"/>
    <w:rsid w:val="007D0FDD"/>
    <w:rsid w:val="007D120B"/>
    <w:rsid w:val="007D1C95"/>
    <w:rsid w:val="007D1CF3"/>
    <w:rsid w:val="007D1D35"/>
    <w:rsid w:val="007D206F"/>
    <w:rsid w:val="007D22D1"/>
    <w:rsid w:val="007D2385"/>
    <w:rsid w:val="007D24CE"/>
    <w:rsid w:val="007D261A"/>
    <w:rsid w:val="007D2755"/>
    <w:rsid w:val="007D291F"/>
    <w:rsid w:val="007D2A2A"/>
    <w:rsid w:val="007D2A37"/>
    <w:rsid w:val="007D2EB4"/>
    <w:rsid w:val="007D2FEF"/>
    <w:rsid w:val="007D33A1"/>
    <w:rsid w:val="007D3784"/>
    <w:rsid w:val="007D38A0"/>
    <w:rsid w:val="007D3EAE"/>
    <w:rsid w:val="007D3F51"/>
    <w:rsid w:val="007D40FC"/>
    <w:rsid w:val="007D411E"/>
    <w:rsid w:val="007D43F0"/>
    <w:rsid w:val="007D44C0"/>
    <w:rsid w:val="007D491A"/>
    <w:rsid w:val="007D49BA"/>
    <w:rsid w:val="007D4A3E"/>
    <w:rsid w:val="007D4FB8"/>
    <w:rsid w:val="007D50BA"/>
    <w:rsid w:val="007D521C"/>
    <w:rsid w:val="007D542B"/>
    <w:rsid w:val="007D5A87"/>
    <w:rsid w:val="007D5ABC"/>
    <w:rsid w:val="007D5BD0"/>
    <w:rsid w:val="007D5BE1"/>
    <w:rsid w:val="007D5CCD"/>
    <w:rsid w:val="007D5CE3"/>
    <w:rsid w:val="007D5DB0"/>
    <w:rsid w:val="007D5EA0"/>
    <w:rsid w:val="007D67D8"/>
    <w:rsid w:val="007D6894"/>
    <w:rsid w:val="007D689A"/>
    <w:rsid w:val="007D6ADB"/>
    <w:rsid w:val="007D6C01"/>
    <w:rsid w:val="007D7309"/>
    <w:rsid w:val="007D7453"/>
    <w:rsid w:val="007D79B6"/>
    <w:rsid w:val="007D7F1E"/>
    <w:rsid w:val="007E01C3"/>
    <w:rsid w:val="007E05A1"/>
    <w:rsid w:val="007E09DF"/>
    <w:rsid w:val="007E0A7A"/>
    <w:rsid w:val="007E0D90"/>
    <w:rsid w:val="007E0E6F"/>
    <w:rsid w:val="007E0F3D"/>
    <w:rsid w:val="007E117E"/>
    <w:rsid w:val="007E11C9"/>
    <w:rsid w:val="007E1273"/>
    <w:rsid w:val="007E1807"/>
    <w:rsid w:val="007E1AA6"/>
    <w:rsid w:val="007E1BF3"/>
    <w:rsid w:val="007E1FAD"/>
    <w:rsid w:val="007E20DE"/>
    <w:rsid w:val="007E21C0"/>
    <w:rsid w:val="007E235D"/>
    <w:rsid w:val="007E2DD8"/>
    <w:rsid w:val="007E2EC1"/>
    <w:rsid w:val="007E2ECC"/>
    <w:rsid w:val="007E2F5C"/>
    <w:rsid w:val="007E30D8"/>
    <w:rsid w:val="007E350B"/>
    <w:rsid w:val="007E3664"/>
    <w:rsid w:val="007E3C23"/>
    <w:rsid w:val="007E421B"/>
    <w:rsid w:val="007E4225"/>
    <w:rsid w:val="007E4882"/>
    <w:rsid w:val="007E4988"/>
    <w:rsid w:val="007E4A8F"/>
    <w:rsid w:val="007E4AB7"/>
    <w:rsid w:val="007E4C29"/>
    <w:rsid w:val="007E4E7F"/>
    <w:rsid w:val="007E4EBA"/>
    <w:rsid w:val="007E4FD3"/>
    <w:rsid w:val="007E55CD"/>
    <w:rsid w:val="007E57F4"/>
    <w:rsid w:val="007E59FA"/>
    <w:rsid w:val="007E5B67"/>
    <w:rsid w:val="007E5C9B"/>
    <w:rsid w:val="007E5DFA"/>
    <w:rsid w:val="007E60EE"/>
    <w:rsid w:val="007E634F"/>
    <w:rsid w:val="007E68E6"/>
    <w:rsid w:val="007E692A"/>
    <w:rsid w:val="007E6BCE"/>
    <w:rsid w:val="007E6DFE"/>
    <w:rsid w:val="007E6EFA"/>
    <w:rsid w:val="007E6F1C"/>
    <w:rsid w:val="007E7112"/>
    <w:rsid w:val="007E7290"/>
    <w:rsid w:val="007E72D0"/>
    <w:rsid w:val="007E731A"/>
    <w:rsid w:val="007E7365"/>
    <w:rsid w:val="007E7476"/>
    <w:rsid w:val="007E7522"/>
    <w:rsid w:val="007E7602"/>
    <w:rsid w:val="007E792A"/>
    <w:rsid w:val="007E7BBC"/>
    <w:rsid w:val="007F0293"/>
    <w:rsid w:val="007F02AB"/>
    <w:rsid w:val="007F0631"/>
    <w:rsid w:val="007F081B"/>
    <w:rsid w:val="007F096D"/>
    <w:rsid w:val="007F0EB8"/>
    <w:rsid w:val="007F1086"/>
    <w:rsid w:val="007F1876"/>
    <w:rsid w:val="007F1948"/>
    <w:rsid w:val="007F1B1D"/>
    <w:rsid w:val="007F2242"/>
    <w:rsid w:val="007F25CE"/>
    <w:rsid w:val="007F2650"/>
    <w:rsid w:val="007F2689"/>
    <w:rsid w:val="007F27CB"/>
    <w:rsid w:val="007F2948"/>
    <w:rsid w:val="007F2F22"/>
    <w:rsid w:val="007F30F5"/>
    <w:rsid w:val="007F3128"/>
    <w:rsid w:val="007F31BE"/>
    <w:rsid w:val="007F31E8"/>
    <w:rsid w:val="007F3229"/>
    <w:rsid w:val="007F36D5"/>
    <w:rsid w:val="007F3740"/>
    <w:rsid w:val="007F374B"/>
    <w:rsid w:val="007F37E6"/>
    <w:rsid w:val="007F37F5"/>
    <w:rsid w:val="007F38D1"/>
    <w:rsid w:val="007F3D46"/>
    <w:rsid w:val="007F3E1C"/>
    <w:rsid w:val="007F3F8C"/>
    <w:rsid w:val="007F4168"/>
    <w:rsid w:val="007F417B"/>
    <w:rsid w:val="007F41F7"/>
    <w:rsid w:val="007F4460"/>
    <w:rsid w:val="007F44D1"/>
    <w:rsid w:val="007F4606"/>
    <w:rsid w:val="007F46F8"/>
    <w:rsid w:val="007F488E"/>
    <w:rsid w:val="007F4D2D"/>
    <w:rsid w:val="007F4F5D"/>
    <w:rsid w:val="007F509B"/>
    <w:rsid w:val="007F543A"/>
    <w:rsid w:val="007F5532"/>
    <w:rsid w:val="007F5608"/>
    <w:rsid w:val="007F62C4"/>
    <w:rsid w:val="007F6457"/>
    <w:rsid w:val="007F65DA"/>
    <w:rsid w:val="007F6A05"/>
    <w:rsid w:val="007F6CEA"/>
    <w:rsid w:val="007F765D"/>
    <w:rsid w:val="007F7723"/>
    <w:rsid w:val="007F7725"/>
    <w:rsid w:val="007F7B1A"/>
    <w:rsid w:val="007F7EE2"/>
    <w:rsid w:val="0080008A"/>
    <w:rsid w:val="008002AF"/>
    <w:rsid w:val="008002D8"/>
    <w:rsid w:val="00800439"/>
    <w:rsid w:val="00800947"/>
    <w:rsid w:val="00800C6E"/>
    <w:rsid w:val="00800CA2"/>
    <w:rsid w:val="00800F92"/>
    <w:rsid w:val="008012FC"/>
    <w:rsid w:val="00801665"/>
    <w:rsid w:val="00801826"/>
    <w:rsid w:val="00801B16"/>
    <w:rsid w:val="00801CCA"/>
    <w:rsid w:val="00802140"/>
    <w:rsid w:val="008026A3"/>
    <w:rsid w:val="00802735"/>
    <w:rsid w:val="0080273E"/>
    <w:rsid w:val="00802D98"/>
    <w:rsid w:val="0080303A"/>
    <w:rsid w:val="00803070"/>
    <w:rsid w:val="008039EE"/>
    <w:rsid w:val="00803A34"/>
    <w:rsid w:val="00803EAB"/>
    <w:rsid w:val="00803F04"/>
    <w:rsid w:val="0080407A"/>
    <w:rsid w:val="00804353"/>
    <w:rsid w:val="00804515"/>
    <w:rsid w:val="008046EA"/>
    <w:rsid w:val="00804FB2"/>
    <w:rsid w:val="00805141"/>
    <w:rsid w:val="00805606"/>
    <w:rsid w:val="008057BE"/>
    <w:rsid w:val="008057C0"/>
    <w:rsid w:val="00805823"/>
    <w:rsid w:val="00805920"/>
    <w:rsid w:val="00805A41"/>
    <w:rsid w:val="00805CD3"/>
    <w:rsid w:val="00805CFD"/>
    <w:rsid w:val="008066AC"/>
    <w:rsid w:val="00806D9A"/>
    <w:rsid w:val="00806F89"/>
    <w:rsid w:val="0080737C"/>
    <w:rsid w:val="00807460"/>
    <w:rsid w:val="00807624"/>
    <w:rsid w:val="00807C21"/>
    <w:rsid w:val="008100C5"/>
    <w:rsid w:val="0081048B"/>
    <w:rsid w:val="00810925"/>
    <w:rsid w:val="0081097E"/>
    <w:rsid w:val="00810BCD"/>
    <w:rsid w:val="00810F0F"/>
    <w:rsid w:val="0081104A"/>
    <w:rsid w:val="00811076"/>
    <w:rsid w:val="0081112F"/>
    <w:rsid w:val="00811157"/>
    <w:rsid w:val="008115EE"/>
    <w:rsid w:val="008119AD"/>
    <w:rsid w:val="00811BC5"/>
    <w:rsid w:val="00811CB1"/>
    <w:rsid w:val="00811F09"/>
    <w:rsid w:val="00811F5B"/>
    <w:rsid w:val="0081263C"/>
    <w:rsid w:val="00812EC5"/>
    <w:rsid w:val="00813080"/>
    <w:rsid w:val="00813296"/>
    <w:rsid w:val="00813BCA"/>
    <w:rsid w:val="00813D2C"/>
    <w:rsid w:val="00813DC0"/>
    <w:rsid w:val="00813DF5"/>
    <w:rsid w:val="00813E06"/>
    <w:rsid w:val="00813E5C"/>
    <w:rsid w:val="00814493"/>
    <w:rsid w:val="00814826"/>
    <w:rsid w:val="00814CD7"/>
    <w:rsid w:val="00814D59"/>
    <w:rsid w:val="00815037"/>
    <w:rsid w:val="008156C0"/>
    <w:rsid w:val="00815794"/>
    <w:rsid w:val="008157D3"/>
    <w:rsid w:val="008158CA"/>
    <w:rsid w:val="00815982"/>
    <w:rsid w:val="00815A84"/>
    <w:rsid w:val="00815CA7"/>
    <w:rsid w:val="00815D36"/>
    <w:rsid w:val="00815D46"/>
    <w:rsid w:val="008160BC"/>
    <w:rsid w:val="00816300"/>
    <w:rsid w:val="008163C2"/>
    <w:rsid w:val="0081660F"/>
    <w:rsid w:val="008169E2"/>
    <w:rsid w:val="00816F07"/>
    <w:rsid w:val="0081714E"/>
    <w:rsid w:val="00817350"/>
    <w:rsid w:val="00817388"/>
    <w:rsid w:val="00817418"/>
    <w:rsid w:val="008176AB"/>
    <w:rsid w:val="00817796"/>
    <w:rsid w:val="00817A32"/>
    <w:rsid w:val="00817AE8"/>
    <w:rsid w:val="00817BD7"/>
    <w:rsid w:val="00817D0A"/>
    <w:rsid w:val="00820089"/>
    <w:rsid w:val="008201C8"/>
    <w:rsid w:val="008206E4"/>
    <w:rsid w:val="0082079D"/>
    <w:rsid w:val="00820E12"/>
    <w:rsid w:val="00820E5E"/>
    <w:rsid w:val="00821455"/>
    <w:rsid w:val="0082179B"/>
    <w:rsid w:val="0082187F"/>
    <w:rsid w:val="008218D0"/>
    <w:rsid w:val="00821ADD"/>
    <w:rsid w:val="00821E84"/>
    <w:rsid w:val="008221F2"/>
    <w:rsid w:val="00822449"/>
    <w:rsid w:val="0082254C"/>
    <w:rsid w:val="00822678"/>
    <w:rsid w:val="00822935"/>
    <w:rsid w:val="00822CAB"/>
    <w:rsid w:val="00822CD0"/>
    <w:rsid w:val="00822F28"/>
    <w:rsid w:val="0082307A"/>
    <w:rsid w:val="008231A4"/>
    <w:rsid w:val="008236D0"/>
    <w:rsid w:val="00823A47"/>
    <w:rsid w:val="00823B69"/>
    <w:rsid w:val="00823E6F"/>
    <w:rsid w:val="00824121"/>
    <w:rsid w:val="00824355"/>
    <w:rsid w:val="0082460E"/>
    <w:rsid w:val="008247B0"/>
    <w:rsid w:val="008249BC"/>
    <w:rsid w:val="00824A60"/>
    <w:rsid w:val="00824FA4"/>
    <w:rsid w:val="008253DB"/>
    <w:rsid w:val="008254B4"/>
    <w:rsid w:val="00825631"/>
    <w:rsid w:val="008259CD"/>
    <w:rsid w:val="00825AC1"/>
    <w:rsid w:val="00825B36"/>
    <w:rsid w:val="00825BF7"/>
    <w:rsid w:val="00825ED7"/>
    <w:rsid w:val="0082613D"/>
    <w:rsid w:val="008261C8"/>
    <w:rsid w:val="0082636A"/>
    <w:rsid w:val="00826406"/>
    <w:rsid w:val="008264A8"/>
    <w:rsid w:val="00826538"/>
    <w:rsid w:val="00826846"/>
    <w:rsid w:val="00826D15"/>
    <w:rsid w:val="00826F5F"/>
    <w:rsid w:val="008271C8"/>
    <w:rsid w:val="00827233"/>
    <w:rsid w:val="00827322"/>
    <w:rsid w:val="00827555"/>
    <w:rsid w:val="008277B0"/>
    <w:rsid w:val="00827F18"/>
    <w:rsid w:val="0083040E"/>
    <w:rsid w:val="00830520"/>
    <w:rsid w:val="0083063A"/>
    <w:rsid w:val="0083074B"/>
    <w:rsid w:val="00831211"/>
    <w:rsid w:val="00831686"/>
    <w:rsid w:val="00831802"/>
    <w:rsid w:val="008319EC"/>
    <w:rsid w:val="00831E16"/>
    <w:rsid w:val="00831F4B"/>
    <w:rsid w:val="00831FEC"/>
    <w:rsid w:val="00832428"/>
    <w:rsid w:val="0083267C"/>
    <w:rsid w:val="00832A7C"/>
    <w:rsid w:val="00833069"/>
    <w:rsid w:val="00833268"/>
    <w:rsid w:val="008336E5"/>
    <w:rsid w:val="00834181"/>
    <w:rsid w:val="00834443"/>
    <w:rsid w:val="00834816"/>
    <w:rsid w:val="00834849"/>
    <w:rsid w:val="0083494E"/>
    <w:rsid w:val="00834A50"/>
    <w:rsid w:val="00834B48"/>
    <w:rsid w:val="00834D1D"/>
    <w:rsid w:val="00834D4D"/>
    <w:rsid w:val="00834E88"/>
    <w:rsid w:val="00835318"/>
    <w:rsid w:val="00835576"/>
    <w:rsid w:val="0083570C"/>
    <w:rsid w:val="008360E2"/>
    <w:rsid w:val="00836518"/>
    <w:rsid w:val="0083665F"/>
    <w:rsid w:val="00836973"/>
    <w:rsid w:val="0083697F"/>
    <w:rsid w:val="00836B86"/>
    <w:rsid w:val="008370D0"/>
    <w:rsid w:val="008377B5"/>
    <w:rsid w:val="008377FC"/>
    <w:rsid w:val="00837BA1"/>
    <w:rsid w:val="00837D89"/>
    <w:rsid w:val="0084027D"/>
    <w:rsid w:val="008402E6"/>
    <w:rsid w:val="0084030C"/>
    <w:rsid w:val="00840565"/>
    <w:rsid w:val="0084082F"/>
    <w:rsid w:val="008409E7"/>
    <w:rsid w:val="00840D1F"/>
    <w:rsid w:val="00840E93"/>
    <w:rsid w:val="00840EF1"/>
    <w:rsid w:val="00840FE2"/>
    <w:rsid w:val="0084116F"/>
    <w:rsid w:val="0084141F"/>
    <w:rsid w:val="008415C2"/>
    <w:rsid w:val="008416A5"/>
    <w:rsid w:val="00841843"/>
    <w:rsid w:val="0084194A"/>
    <w:rsid w:val="00842C3F"/>
    <w:rsid w:val="00842D4C"/>
    <w:rsid w:val="00843259"/>
    <w:rsid w:val="0084342D"/>
    <w:rsid w:val="008437D4"/>
    <w:rsid w:val="00843824"/>
    <w:rsid w:val="00843884"/>
    <w:rsid w:val="008438D3"/>
    <w:rsid w:val="008439C7"/>
    <w:rsid w:val="00843F95"/>
    <w:rsid w:val="0084408B"/>
    <w:rsid w:val="008441C4"/>
    <w:rsid w:val="00844287"/>
    <w:rsid w:val="008443C0"/>
    <w:rsid w:val="00844639"/>
    <w:rsid w:val="00844A46"/>
    <w:rsid w:val="00844E50"/>
    <w:rsid w:val="00844F8B"/>
    <w:rsid w:val="0084506E"/>
    <w:rsid w:val="0084518F"/>
    <w:rsid w:val="008451D7"/>
    <w:rsid w:val="00845354"/>
    <w:rsid w:val="00845394"/>
    <w:rsid w:val="008454C2"/>
    <w:rsid w:val="008454FE"/>
    <w:rsid w:val="008456FF"/>
    <w:rsid w:val="0084579A"/>
    <w:rsid w:val="00845C3C"/>
    <w:rsid w:val="00845E79"/>
    <w:rsid w:val="00846376"/>
    <w:rsid w:val="0084653B"/>
    <w:rsid w:val="00846960"/>
    <w:rsid w:val="00846E35"/>
    <w:rsid w:val="00847196"/>
    <w:rsid w:val="0084720C"/>
    <w:rsid w:val="00847304"/>
    <w:rsid w:val="00847F43"/>
    <w:rsid w:val="008501A5"/>
    <w:rsid w:val="008506C1"/>
    <w:rsid w:val="00850F53"/>
    <w:rsid w:val="00850FCE"/>
    <w:rsid w:val="00850FE6"/>
    <w:rsid w:val="008517FF"/>
    <w:rsid w:val="00852019"/>
    <w:rsid w:val="00852098"/>
    <w:rsid w:val="008520C5"/>
    <w:rsid w:val="008521B7"/>
    <w:rsid w:val="00852200"/>
    <w:rsid w:val="008524A9"/>
    <w:rsid w:val="0085295F"/>
    <w:rsid w:val="0085334B"/>
    <w:rsid w:val="0085348D"/>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6D2B"/>
    <w:rsid w:val="00857558"/>
    <w:rsid w:val="00857595"/>
    <w:rsid w:val="008579FB"/>
    <w:rsid w:val="00857BA2"/>
    <w:rsid w:val="00857D5E"/>
    <w:rsid w:val="008603AA"/>
    <w:rsid w:val="008603F3"/>
    <w:rsid w:val="008605FE"/>
    <w:rsid w:val="00860629"/>
    <w:rsid w:val="0086081C"/>
    <w:rsid w:val="00860B5F"/>
    <w:rsid w:val="00861300"/>
    <w:rsid w:val="00861591"/>
    <w:rsid w:val="008617AF"/>
    <w:rsid w:val="00861833"/>
    <w:rsid w:val="008619FF"/>
    <w:rsid w:val="00861A87"/>
    <w:rsid w:val="00861BE6"/>
    <w:rsid w:val="008622C8"/>
    <w:rsid w:val="0086279E"/>
    <w:rsid w:val="00862A3A"/>
    <w:rsid w:val="00862C0C"/>
    <w:rsid w:val="00862C27"/>
    <w:rsid w:val="00862C57"/>
    <w:rsid w:val="00862D15"/>
    <w:rsid w:val="00862D2B"/>
    <w:rsid w:val="00862E8E"/>
    <w:rsid w:val="00863299"/>
    <w:rsid w:val="0086341A"/>
    <w:rsid w:val="008636D0"/>
    <w:rsid w:val="00863710"/>
    <w:rsid w:val="008637D7"/>
    <w:rsid w:val="00863C54"/>
    <w:rsid w:val="00863FEE"/>
    <w:rsid w:val="00864128"/>
    <w:rsid w:val="008645BB"/>
    <w:rsid w:val="00864661"/>
    <w:rsid w:val="008648A3"/>
    <w:rsid w:val="008648C0"/>
    <w:rsid w:val="00864935"/>
    <w:rsid w:val="00864BF6"/>
    <w:rsid w:val="00864C1F"/>
    <w:rsid w:val="00864CD4"/>
    <w:rsid w:val="00864E06"/>
    <w:rsid w:val="00864EB9"/>
    <w:rsid w:val="00864F4D"/>
    <w:rsid w:val="008652F3"/>
    <w:rsid w:val="00865373"/>
    <w:rsid w:val="008657FF"/>
    <w:rsid w:val="008658A5"/>
    <w:rsid w:val="00865B49"/>
    <w:rsid w:val="00865E21"/>
    <w:rsid w:val="008660B5"/>
    <w:rsid w:val="008660BB"/>
    <w:rsid w:val="008660D1"/>
    <w:rsid w:val="008661AA"/>
    <w:rsid w:val="0086670A"/>
    <w:rsid w:val="008668DD"/>
    <w:rsid w:val="00866953"/>
    <w:rsid w:val="0086695B"/>
    <w:rsid w:val="00866A16"/>
    <w:rsid w:val="00866A22"/>
    <w:rsid w:val="00866AE2"/>
    <w:rsid w:val="00866E9B"/>
    <w:rsid w:val="0086700B"/>
    <w:rsid w:val="00867829"/>
    <w:rsid w:val="00867B4C"/>
    <w:rsid w:val="00867E26"/>
    <w:rsid w:val="00867EFC"/>
    <w:rsid w:val="0087047D"/>
    <w:rsid w:val="00870AEB"/>
    <w:rsid w:val="00870B4B"/>
    <w:rsid w:val="008711F4"/>
    <w:rsid w:val="008713F3"/>
    <w:rsid w:val="008717B2"/>
    <w:rsid w:val="00871986"/>
    <w:rsid w:val="00871B1E"/>
    <w:rsid w:val="00871FA1"/>
    <w:rsid w:val="0087202F"/>
    <w:rsid w:val="00872057"/>
    <w:rsid w:val="0087227D"/>
    <w:rsid w:val="0087239D"/>
    <w:rsid w:val="008726C6"/>
    <w:rsid w:val="00872A8F"/>
    <w:rsid w:val="00872BDD"/>
    <w:rsid w:val="00872F7E"/>
    <w:rsid w:val="0087316B"/>
    <w:rsid w:val="008732BE"/>
    <w:rsid w:val="008733EA"/>
    <w:rsid w:val="008734D4"/>
    <w:rsid w:val="00873698"/>
    <w:rsid w:val="00873AAE"/>
    <w:rsid w:val="00873D42"/>
    <w:rsid w:val="008741A3"/>
    <w:rsid w:val="008741EF"/>
    <w:rsid w:val="00874826"/>
    <w:rsid w:val="00874903"/>
    <w:rsid w:val="00874954"/>
    <w:rsid w:val="0087537A"/>
    <w:rsid w:val="008754D8"/>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94E"/>
    <w:rsid w:val="00877A22"/>
    <w:rsid w:val="00877AE1"/>
    <w:rsid w:val="00877E3F"/>
    <w:rsid w:val="00877F9B"/>
    <w:rsid w:val="008800C9"/>
    <w:rsid w:val="008806CD"/>
    <w:rsid w:val="008808BC"/>
    <w:rsid w:val="00880A49"/>
    <w:rsid w:val="00880F69"/>
    <w:rsid w:val="008810C8"/>
    <w:rsid w:val="008811E3"/>
    <w:rsid w:val="008816A0"/>
    <w:rsid w:val="008816BC"/>
    <w:rsid w:val="00881A43"/>
    <w:rsid w:val="00881BEA"/>
    <w:rsid w:val="00881E3E"/>
    <w:rsid w:val="00881EB1"/>
    <w:rsid w:val="00881F87"/>
    <w:rsid w:val="00882192"/>
    <w:rsid w:val="008827D2"/>
    <w:rsid w:val="00882BCD"/>
    <w:rsid w:val="00882DCA"/>
    <w:rsid w:val="00882DDE"/>
    <w:rsid w:val="00882F17"/>
    <w:rsid w:val="0088303A"/>
    <w:rsid w:val="00883085"/>
    <w:rsid w:val="008832EC"/>
    <w:rsid w:val="00883483"/>
    <w:rsid w:val="00883608"/>
    <w:rsid w:val="008838B4"/>
    <w:rsid w:val="00883BAC"/>
    <w:rsid w:val="00884232"/>
    <w:rsid w:val="0088429C"/>
    <w:rsid w:val="00884431"/>
    <w:rsid w:val="008846B7"/>
    <w:rsid w:val="008847DB"/>
    <w:rsid w:val="00884823"/>
    <w:rsid w:val="00884B1B"/>
    <w:rsid w:val="00885B64"/>
    <w:rsid w:val="00885BB1"/>
    <w:rsid w:val="00885BBC"/>
    <w:rsid w:val="00885E9F"/>
    <w:rsid w:val="008863A1"/>
    <w:rsid w:val="00886BE6"/>
    <w:rsid w:val="008872F7"/>
    <w:rsid w:val="00887759"/>
    <w:rsid w:val="00887B4E"/>
    <w:rsid w:val="00887B6A"/>
    <w:rsid w:val="00887CB2"/>
    <w:rsid w:val="00887DDB"/>
    <w:rsid w:val="00890081"/>
    <w:rsid w:val="008900F0"/>
    <w:rsid w:val="008903C3"/>
    <w:rsid w:val="0089061F"/>
    <w:rsid w:val="008909C5"/>
    <w:rsid w:val="00890A21"/>
    <w:rsid w:val="00890C1E"/>
    <w:rsid w:val="00890D97"/>
    <w:rsid w:val="00890DB7"/>
    <w:rsid w:val="00890E18"/>
    <w:rsid w:val="00891133"/>
    <w:rsid w:val="00891360"/>
    <w:rsid w:val="00891564"/>
    <w:rsid w:val="008918D5"/>
    <w:rsid w:val="0089194E"/>
    <w:rsid w:val="00891F67"/>
    <w:rsid w:val="008923AB"/>
    <w:rsid w:val="008924F6"/>
    <w:rsid w:val="00892502"/>
    <w:rsid w:val="00892530"/>
    <w:rsid w:val="0089259D"/>
    <w:rsid w:val="0089263A"/>
    <w:rsid w:val="00892CBF"/>
    <w:rsid w:val="00892F00"/>
    <w:rsid w:val="00892F38"/>
    <w:rsid w:val="0089306E"/>
    <w:rsid w:val="008930AE"/>
    <w:rsid w:val="0089312B"/>
    <w:rsid w:val="0089318C"/>
    <w:rsid w:val="008931E2"/>
    <w:rsid w:val="00893222"/>
    <w:rsid w:val="00893FD3"/>
    <w:rsid w:val="00894063"/>
    <w:rsid w:val="008940BF"/>
    <w:rsid w:val="00894406"/>
    <w:rsid w:val="0089460E"/>
    <w:rsid w:val="00894AFB"/>
    <w:rsid w:val="00894B37"/>
    <w:rsid w:val="00894CEF"/>
    <w:rsid w:val="00894F9C"/>
    <w:rsid w:val="008950DA"/>
    <w:rsid w:val="00895497"/>
    <w:rsid w:val="008954F5"/>
    <w:rsid w:val="00895526"/>
    <w:rsid w:val="0089564A"/>
    <w:rsid w:val="008956B4"/>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5BA"/>
    <w:rsid w:val="0089771D"/>
    <w:rsid w:val="00897818"/>
    <w:rsid w:val="00897C11"/>
    <w:rsid w:val="00897F29"/>
    <w:rsid w:val="008A01EF"/>
    <w:rsid w:val="008A0E54"/>
    <w:rsid w:val="008A132C"/>
    <w:rsid w:val="008A144A"/>
    <w:rsid w:val="008A17F8"/>
    <w:rsid w:val="008A195B"/>
    <w:rsid w:val="008A19DD"/>
    <w:rsid w:val="008A1ADA"/>
    <w:rsid w:val="008A1B7D"/>
    <w:rsid w:val="008A2141"/>
    <w:rsid w:val="008A260D"/>
    <w:rsid w:val="008A263B"/>
    <w:rsid w:val="008A29C9"/>
    <w:rsid w:val="008A2F3C"/>
    <w:rsid w:val="008A3079"/>
    <w:rsid w:val="008A3088"/>
    <w:rsid w:val="008A3132"/>
    <w:rsid w:val="008A32A0"/>
    <w:rsid w:val="008A3449"/>
    <w:rsid w:val="008A34F8"/>
    <w:rsid w:val="008A36EB"/>
    <w:rsid w:val="008A38B1"/>
    <w:rsid w:val="008A395F"/>
    <w:rsid w:val="008A3A37"/>
    <w:rsid w:val="008A3C33"/>
    <w:rsid w:val="008A3D03"/>
    <w:rsid w:val="008A41D9"/>
    <w:rsid w:val="008A425B"/>
    <w:rsid w:val="008A435B"/>
    <w:rsid w:val="008A43D6"/>
    <w:rsid w:val="008A48C2"/>
    <w:rsid w:val="008A4A4E"/>
    <w:rsid w:val="008A4AE7"/>
    <w:rsid w:val="008A4CF6"/>
    <w:rsid w:val="008A50B3"/>
    <w:rsid w:val="008A5388"/>
    <w:rsid w:val="008A541B"/>
    <w:rsid w:val="008A60D4"/>
    <w:rsid w:val="008A622D"/>
    <w:rsid w:val="008A658A"/>
    <w:rsid w:val="008A6594"/>
    <w:rsid w:val="008A668B"/>
    <w:rsid w:val="008A670D"/>
    <w:rsid w:val="008A6956"/>
    <w:rsid w:val="008A69A0"/>
    <w:rsid w:val="008A6C37"/>
    <w:rsid w:val="008A6E1D"/>
    <w:rsid w:val="008A6EEA"/>
    <w:rsid w:val="008A7062"/>
    <w:rsid w:val="008A7227"/>
    <w:rsid w:val="008A747F"/>
    <w:rsid w:val="008A770A"/>
    <w:rsid w:val="008A7BC2"/>
    <w:rsid w:val="008A7DC6"/>
    <w:rsid w:val="008A7EB6"/>
    <w:rsid w:val="008A7FD0"/>
    <w:rsid w:val="008B01DE"/>
    <w:rsid w:val="008B0604"/>
    <w:rsid w:val="008B0646"/>
    <w:rsid w:val="008B0698"/>
    <w:rsid w:val="008B093A"/>
    <w:rsid w:val="008B0AC0"/>
    <w:rsid w:val="008B0C91"/>
    <w:rsid w:val="008B0E19"/>
    <w:rsid w:val="008B1355"/>
    <w:rsid w:val="008B1595"/>
    <w:rsid w:val="008B1649"/>
    <w:rsid w:val="008B16BB"/>
    <w:rsid w:val="008B1785"/>
    <w:rsid w:val="008B2152"/>
    <w:rsid w:val="008B21E7"/>
    <w:rsid w:val="008B22FB"/>
    <w:rsid w:val="008B235F"/>
    <w:rsid w:val="008B2883"/>
    <w:rsid w:val="008B28E2"/>
    <w:rsid w:val="008B2DB9"/>
    <w:rsid w:val="008B2E0A"/>
    <w:rsid w:val="008B2FBD"/>
    <w:rsid w:val="008B301E"/>
    <w:rsid w:val="008B3021"/>
    <w:rsid w:val="008B3246"/>
    <w:rsid w:val="008B327F"/>
    <w:rsid w:val="008B32C7"/>
    <w:rsid w:val="008B333E"/>
    <w:rsid w:val="008B36FB"/>
    <w:rsid w:val="008B3765"/>
    <w:rsid w:val="008B38A2"/>
    <w:rsid w:val="008B3A66"/>
    <w:rsid w:val="008B3B85"/>
    <w:rsid w:val="008B3C4D"/>
    <w:rsid w:val="008B40B0"/>
    <w:rsid w:val="008B4148"/>
    <w:rsid w:val="008B44C1"/>
    <w:rsid w:val="008B456D"/>
    <w:rsid w:val="008B4579"/>
    <w:rsid w:val="008B4620"/>
    <w:rsid w:val="008B47E4"/>
    <w:rsid w:val="008B509B"/>
    <w:rsid w:val="008B55DB"/>
    <w:rsid w:val="008B5653"/>
    <w:rsid w:val="008B5DA4"/>
    <w:rsid w:val="008B5E8B"/>
    <w:rsid w:val="008B61A7"/>
    <w:rsid w:val="008B62D2"/>
    <w:rsid w:val="008B63EF"/>
    <w:rsid w:val="008B68BA"/>
    <w:rsid w:val="008B692D"/>
    <w:rsid w:val="008B6B4A"/>
    <w:rsid w:val="008B6BC0"/>
    <w:rsid w:val="008B6FAE"/>
    <w:rsid w:val="008B72D7"/>
    <w:rsid w:val="008B74E1"/>
    <w:rsid w:val="008B7536"/>
    <w:rsid w:val="008B780C"/>
    <w:rsid w:val="008B7C15"/>
    <w:rsid w:val="008B7F95"/>
    <w:rsid w:val="008C02F3"/>
    <w:rsid w:val="008C040D"/>
    <w:rsid w:val="008C0E9B"/>
    <w:rsid w:val="008C1069"/>
    <w:rsid w:val="008C1079"/>
    <w:rsid w:val="008C10A1"/>
    <w:rsid w:val="008C14F9"/>
    <w:rsid w:val="008C18A9"/>
    <w:rsid w:val="008C18B3"/>
    <w:rsid w:val="008C1C1C"/>
    <w:rsid w:val="008C1CE1"/>
    <w:rsid w:val="008C1EFD"/>
    <w:rsid w:val="008C1F3C"/>
    <w:rsid w:val="008C2037"/>
    <w:rsid w:val="008C20DB"/>
    <w:rsid w:val="008C238C"/>
    <w:rsid w:val="008C239A"/>
    <w:rsid w:val="008C2716"/>
    <w:rsid w:val="008C2F67"/>
    <w:rsid w:val="008C374F"/>
    <w:rsid w:val="008C397D"/>
    <w:rsid w:val="008C3A8B"/>
    <w:rsid w:val="008C3B87"/>
    <w:rsid w:val="008C3C25"/>
    <w:rsid w:val="008C3E72"/>
    <w:rsid w:val="008C4289"/>
    <w:rsid w:val="008C42C1"/>
    <w:rsid w:val="008C477A"/>
    <w:rsid w:val="008C4F64"/>
    <w:rsid w:val="008C5141"/>
    <w:rsid w:val="008C5306"/>
    <w:rsid w:val="008C5433"/>
    <w:rsid w:val="008C5498"/>
    <w:rsid w:val="008C61DE"/>
    <w:rsid w:val="008C63E9"/>
    <w:rsid w:val="008C6BC7"/>
    <w:rsid w:val="008C6C65"/>
    <w:rsid w:val="008C6CD5"/>
    <w:rsid w:val="008C6E82"/>
    <w:rsid w:val="008C752A"/>
    <w:rsid w:val="008C7682"/>
    <w:rsid w:val="008C781D"/>
    <w:rsid w:val="008C7E2C"/>
    <w:rsid w:val="008D048C"/>
    <w:rsid w:val="008D0621"/>
    <w:rsid w:val="008D064C"/>
    <w:rsid w:val="008D075B"/>
    <w:rsid w:val="008D08EF"/>
    <w:rsid w:val="008D0ACC"/>
    <w:rsid w:val="008D0FE1"/>
    <w:rsid w:val="008D199C"/>
    <w:rsid w:val="008D1BC9"/>
    <w:rsid w:val="008D1C7C"/>
    <w:rsid w:val="008D1FC9"/>
    <w:rsid w:val="008D2883"/>
    <w:rsid w:val="008D296A"/>
    <w:rsid w:val="008D2B6D"/>
    <w:rsid w:val="008D2E84"/>
    <w:rsid w:val="008D3197"/>
    <w:rsid w:val="008D341E"/>
    <w:rsid w:val="008D364E"/>
    <w:rsid w:val="008D3B23"/>
    <w:rsid w:val="008D3D6D"/>
    <w:rsid w:val="008D47C5"/>
    <w:rsid w:val="008D4B3C"/>
    <w:rsid w:val="008D4E00"/>
    <w:rsid w:val="008D4E16"/>
    <w:rsid w:val="008D4F2B"/>
    <w:rsid w:val="008D55AC"/>
    <w:rsid w:val="008D5959"/>
    <w:rsid w:val="008D596E"/>
    <w:rsid w:val="008D65A7"/>
    <w:rsid w:val="008D6614"/>
    <w:rsid w:val="008D6916"/>
    <w:rsid w:val="008D6CF5"/>
    <w:rsid w:val="008D70CC"/>
    <w:rsid w:val="008D7129"/>
    <w:rsid w:val="008D719F"/>
    <w:rsid w:val="008D750F"/>
    <w:rsid w:val="008D78B7"/>
    <w:rsid w:val="008D7DE8"/>
    <w:rsid w:val="008E0093"/>
    <w:rsid w:val="008E0161"/>
    <w:rsid w:val="008E0AD1"/>
    <w:rsid w:val="008E0E76"/>
    <w:rsid w:val="008E1086"/>
    <w:rsid w:val="008E1440"/>
    <w:rsid w:val="008E17F6"/>
    <w:rsid w:val="008E1941"/>
    <w:rsid w:val="008E1DE1"/>
    <w:rsid w:val="008E26AE"/>
    <w:rsid w:val="008E27E4"/>
    <w:rsid w:val="008E2E53"/>
    <w:rsid w:val="008E311C"/>
    <w:rsid w:val="008E31E3"/>
    <w:rsid w:val="008E34FF"/>
    <w:rsid w:val="008E3778"/>
    <w:rsid w:val="008E382D"/>
    <w:rsid w:val="008E38E7"/>
    <w:rsid w:val="008E3ABA"/>
    <w:rsid w:val="008E3C3B"/>
    <w:rsid w:val="008E3C7A"/>
    <w:rsid w:val="008E3D72"/>
    <w:rsid w:val="008E3DAE"/>
    <w:rsid w:val="008E4034"/>
    <w:rsid w:val="008E45AB"/>
    <w:rsid w:val="008E473E"/>
    <w:rsid w:val="008E484D"/>
    <w:rsid w:val="008E4B3C"/>
    <w:rsid w:val="008E50C7"/>
    <w:rsid w:val="008E543B"/>
    <w:rsid w:val="008E5766"/>
    <w:rsid w:val="008E5D3F"/>
    <w:rsid w:val="008E5E80"/>
    <w:rsid w:val="008E60EB"/>
    <w:rsid w:val="008E61A4"/>
    <w:rsid w:val="008E62A3"/>
    <w:rsid w:val="008E6310"/>
    <w:rsid w:val="008E6443"/>
    <w:rsid w:val="008E6A91"/>
    <w:rsid w:val="008E7386"/>
    <w:rsid w:val="008E7BA3"/>
    <w:rsid w:val="008E7C8B"/>
    <w:rsid w:val="008E7E66"/>
    <w:rsid w:val="008E7E81"/>
    <w:rsid w:val="008E7E8A"/>
    <w:rsid w:val="008F00DF"/>
    <w:rsid w:val="008F03EA"/>
    <w:rsid w:val="008F0796"/>
    <w:rsid w:val="008F0936"/>
    <w:rsid w:val="008F0957"/>
    <w:rsid w:val="008F0A7C"/>
    <w:rsid w:val="008F0B28"/>
    <w:rsid w:val="008F1271"/>
    <w:rsid w:val="008F18D1"/>
    <w:rsid w:val="008F1E7A"/>
    <w:rsid w:val="008F2127"/>
    <w:rsid w:val="008F23AE"/>
    <w:rsid w:val="008F2648"/>
    <w:rsid w:val="008F2D49"/>
    <w:rsid w:val="008F3116"/>
    <w:rsid w:val="008F320D"/>
    <w:rsid w:val="008F3855"/>
    <w:rsid w:val="008F3925"/>
    <w:rsid w:val="008F39BA"/>
    <w:rsid w:val="008F39FB"/>
    <w:rsid w:val="008F3B04"/>
    <w:rsid w:val="008F4022"/>
    <w:rsid w:val="008F46F0"/>
    <w:rsid w:val="008F4794"/>
    <w:rsid w:val="008F4897"/>
    <w:rsid w:val="008F4A1F"/>
    <w:rsid w:val="008F4C74"/>
    <w:rsid w:val="008F4DA1"/>
    <w:rsid w:val="008F4E15"/>
    <w:rsid w:val="008F4F5D"/>
    <w:rsid w:val="008F5941"/>
    <w:rsid w:val="008F59B7"/>
    <w:rsid w:val="008F5B1A"/>
    <w:rsid w:val="008F5C86"/>
    <w:rsid w:val="008F5DE1"/>
    <w:rsid w:val="008F5EC4"/>
    <w:rsid w:val="008F65CA"/>
    <w:rsid w:val="008F6759"/>
    <w:rsid w:val="008F680C"/>
    <w:rsid w:val="008F68EA"/>
    <w:rsid w:val="008F6ACC"/>
    <w:rsid w:val="008F709A"/>
    <w:rsid w:val="008F73E2"/>
    <w:rsid w:val="008F7460"/>
    <w:rsid w:val="008F7474"/>
    <w:rsid w:val="008F7A8B"/>
    <w:rsid w:val="008F7B03"/>
    <w:rsid w:val="008F7BBC"/>
    <w:rsid w:val="008F7CD0"/>
    <w:rsid w:val="008F7D0C"/>
    <w:rsid w:val="008F7F10"/>
    <w:rsid w:val="0090059F"/>
    <w:rsid w:val="009006FF"/>
    <w:rsid w:val="009007D0"/>
    <w:rsid w:val="00900840"/>
    <w:rsid w:val="00900902"/>
    <w:rsid w:val="0090095A"/>
    <w:rsid w:val="00900E60"/>
    <w:rsid w:val="0090141A"/>
    <w:rsid w:val="00901D3D"/>
    <w:rsid w:val="00901D6A"/>
    <w:rsid w:val="00901ED2"/>
    <w:rsid w:val="009026A7"/>
    <w:rsid w:val="00902764"/>
    <w:rsid w:val="009028C9"/>
    <w:rsid w:val="00902C13"/>
    <w:rsid w:val="00902CAD"/>
    <w:rsid w:val="00902CD9"/>
    <w:rsid w:val="00902D1F"/>
    <w:rsid w:val="00902EC4"/>
    <w:rsid w:val="0090303B"/>
    <w:rsid w:val="009032D7"/>
    <w:rsid w:val="00903520"/>
    <w:rsid w:val="009035F6"/>
    <w:rsid w:val="00903BD6"/>
    <w:rsid w:val="00903EC1"/>
    <w:rsid w:val="00903F8E"/>
    <w:rsid w:val="0090463D"/>
    <w:rsid w:val="00904698"/>
    <w:rsid w:val="009046DD"/>
    <w:rsid w:val="00904D06"/>
    <w:rsid w:val="00904E6F"/>
    <w:rsid w:val="009052C0"/>
    <w:rsid w:val="0090546D"/>
    <w:rsid w:val="00905D2F"/>
    <w:rsid w:val="00905DD8"/>
    <w:rsid w:val="00905F01"/>
    <w:rsid w:val="00905F26"/>
    <w:rsid w:val="00905FD6"/>
    <w:rsid w:val="009060D2"/>
    <w:rsid w:val="00906262"/>
    <w:rsid w:val="0090637C"/>
    <w:rsid w:val="009064BA"/>
    <w:rsid w:val="009065F3"/>
    <w:rsid w:val="009069E2"/>
    <w:rsid w:val="009069EA"/>
    <w:rsid w:val="00906AF1"/>
    <w:rsid w:val="00906C9A"/>
    <w:rsid w:val="00906D99"/>
    <w:rsid w:val="00906FD1"/>
    <w:rsid w:val="00907192"/>
    <w:rsid w:val="00907266"/>
    <w:rsid w:val="00907423"/>
    <w:rsid w:val="00907618"/>
    <w:rsid w:val="00907750"/>
    <w:rsid w:val="0090782C"/>
    <w:rsid w:val="009078D2"/>
    <w:rsid w:val="009079B3"/>
    <w:rsid w:val="00907B49"/>
    <w:rsid w:val="00907D16"/>
    <w:rsid w:val="0091006C"/>
    <w:rsid w:val="009102F1"/>
    <w:rsid w:val="0091039D"/>
    <w:rsid w:val="0091056C"/>
    <w:rsid w:val="00910953"/>
    <w:rsid w:val="00910C18"/>
    <w:rsid w:val="00911135"/>
    <w:rsid w:val="0091129E"/>
    <w:rsid w:val="0091160D"/>
    <w:rsid w:val="00911912"/>
    <w:rsid w:val="00911B25"/>
    <w:rsid w:val="00911F78"/>
    <w:rsid w:val="00912763"/>
    <w:rsid w:val="00912787"/>
    <w:rsid w:val="00912BB6"/>
    <w:rsid w:val="00912D8C"/>
    <w:rsid w:val="009131C0"/>
    <w:rsid w:val="00913266"/>
    <w:rsid w:val="009135AF"/>
    <w:rsid w:val="00913663"/>
    <w:rsid w:val="009136F0"/>
    <w:rsid w:val="009138B1"/>
    <w:rsid w:val="00913933"/>
    <w:rsid w:val="009139D6"/>
    <w:rsid w:val="0091416B"/>
    <w:rsid w:val="00914608"/>
    <w:rsid w:val="00914867"/>
    <w:rsid w:val="00914EA9"/>
    <w:rsid w:val="00915015"/>
    <w:rsid w:val="00915035"/>
    <w:rsid w:val="009150FE"/>
    <w:rsid w:val="00915284"/>
    <w:rsid w:val="009154EA"/>
    <w:rsid w:val="00915508"/>
    <w:rsid w:val="00915585"/>
    <w:rsid w:val="0091558A"/>
    <w:rsid w:val="00915682"/>
    <w:rsid w:val="00915C48"/>
    <w:rsid w:val="00916211"/>
    <w:rsid w:val="00916685"/>
    <w:rsid w:val="00916762"/>
    <w:rsid w:val="009168E1"/>
    <w:rsid w:val="009169A2"/>
    <w:rsid w:val="00916F5A"/>
    <w:rsid w:val="0091711D"/>
    <w:rsid w:val="0091729A"/>
    <w:rsid w:val="009172B6"/>
    <w:rsid w:val="009172D6"/>
    <w:rsid w:val="00917709"/>
    <w:rsid w:val="00917828"/>
    <w:rsid w:val="00917F22"/>
    <w:rsid w:val="00920141"/>
    <w:rsid w:val="009204A6"/>
    <w:rsid w:val="0092054A"/>
    <w:rsid w:val="0092089D"/>
    <w:rsid w:val="009209AC"/>
    <w:rsid w:val="00920B1C"/>
    <w:rsid w:val="00920B58"/>
    <w:rsid w:val="00920EA2"/>
    <w:rsid w:val="00920F36"/>
    <w:rsid w:val="00920FCD"/>
    <w:rsid w:val="00921264"/>
    <w:rsid w:val="00921A61"/>
    <w:rsid w:val="00921A89"/>
    <w:rsid w:val="00921AE4"/>
    <w:rsid w:val="00921B9D"/>
    <w:rsid w:val="00921BC7"/>
    <w:rsid w:val="00922692"/>
    <w:rsid w:val="009229F6"/>
    <w:rsid w:val="00922B9F"/>
    <w:rsid w:val="00922BB1"/>
    <w:rsid w:val="00922D12"/>
    <w:rsid w:val="0092327F"/>
    <w:rsid w:val="009234B6"/>
    <w:rsid w:val="009235C1"/>
    <w:rsid w:val="00923CEE"/>
    <w:rsid w:val="00923E71"/>
    <w:rsid w:val="00923F52"/>
    <w:rsid w:val="00923FC8"/>
    <w:rsid w:val="009243E2"/>
    <w:rsid w:val="00924533"/>
    <w:rsid w:val="00924806"/>
    <w:rsid w:val="0092508C"/>
    <w:rsid w:val="009251F0"/>
    <w:rsid w:val="00925238"/>
    <w:rsid w:val="009256D8"/>
    <w:rsid w:val="00925778"/>
    <w:rsid w:val="009258DA"/>
    <w:rsid w:val="009259A3"/>
    <w:rsid w:val="00925C40"/>
    <w:rsid w:val="00925E0E"/>
    <w:rsid w:val="00925EF4"/>
    <w:rsid w:val="00925F05"/>
    <w:rsid w:val="00926238"/>
    <w:rsid w:val="00926484"/>
    <w:rsid w:val="0092675E"/>
    <w:rsid w:val="00926A4B"/>
    <w:rsid w:val="00926B2A"/>
    <w:rsid w:val="009270EE"/>
    <w:rsid w:val="009279D6"/>
    <w:rsid w:val="00927ACC"/>
    <w:rsid w:val="00927C3E"/>
    <w:rsid w:val="00927C84"/>
    <w:rsid w:val="00927DC4"/>
    <w:rsid w:val="00927DE1"/>
    <w:rsid w:val="00927FCB"/>
    <w:rsid w:val="0093009C"/>
    <w:rsid w:val="00930305"/>
    <w:rsid w:val="009308FD"/>
    <w:rsid w:val="00930E1A"/>
    <w:rsid w:val="00930EF0"/>
    <w:rsid w:val="009310F4"/>
    <w:rsid w:val="00931506"/>
    <w:rsid w:val="0093181E"/>
    <w:rsid w:val="0093193E"/>
    <w:rsid w:val="00931C3E"/>
    <w:rsid w:val="00931F9A"/>
    <w:rsid w:val="009320A7"/>
    <w:rsid w:val="00932147"/>
    <w:rsid w:val="00932341"/>
    <w:rsid w:val="009323EF"/>
    <w:rsid w:val="00932914"/>
    <w:rsid w:val="009329EC"/>
    <w:rsid w:val="00933008"/>
    <w:rsid w:val="00933348"/>
    <w:rsid w:val="0093334A"/>
    <w:rsid w:val="009333C6"/>
    <w:rsid w:val="009336C0"/>
    <w:rsid w:val="0093384D"/>
    <w:rsid w:val="00933B1E"/>
    <w:rsid w:val="00934530"/>
    <w:rsid w:val="0093456C"/>
    <w:rsid w:val="00934573"/>
    <w:rsid w:val="009347AE"/>
    <w:rsid w:val="00935AFB"/>
    <w:rsid w:val="00935C04"/>
    <w:rsid w:val="00935C8D"/>
    <w:rsid w:val="00936033"/>
    <w:rsid w:val="009369A4"/>
    <w:rsid w:val="00936C04"/>
    <w:rsid w:val="00936D40"/>
    <w:rsid w:val="00936D97"/>
    <w:rsid w:val="009371CF"/>
    <w:rsid w:val="009378D0"/>
    <w:rsid w:val="00937A52"/>
    <w:rsid w:val="009403E3"/>
    <w:rsid w:val="009404C3"/>
    <w:rsid w:val="00940793"/>
    <w:rsid w:val="00940C3B"/>
    <w:rsid w:val="00940D6C"/>
    <w:rsid w:val="00940E87"/>
    <w:rsid w:val="00940F2E"/>
    <w:rsid w:val="0094123D"/>
    <w:rsid w:val="009413E8"/>
    <w:rsid w:val="0094186C"/>
    <w:rsid w:val="009418EF"/>
    <w:rsid w:val="00941C5B"/>
    <w:rsid w:val="0094276B"/>
    <w:rsid w:val="0094281E"/>
    <w:rsid w:val="00942960"/>
    <w:rsid w:val="00942AB8"/>
    <w:rsid w:val="00942F0F"/>
    <w:rsid w:val="00943016"/>
    <w:rsid w:val="009431BF"/>
    <w:rsid w:val="00943558"/>
    <w:rsid w:val="009436AD"/>
    <w:rsid w:val="00943822"/>
    <w:rsid w:val="009438B4"/>
    <w:rsid w:val="0094399F"/>
    <w:rsid w:val="00943A8C"/>
    <w:rsid w:val="00943BF0"/>
    <w:rsid w:val="00943D98"/>
    <w:rsid w:val="00943E44"/>
    <w:rsid w:val="00944184"/>
    <w:rsid w:val="00944451"/>
    <w:rsid w:val="0094494F"/>
    <w:rsid w:val="00944BA0"/>
    <w:rsid w:val="00944DAA"/>
    <w:rsid w:val="00945245"/>
    <w:rsid w:val="0094524F"/>
    <w:rsid w:val="0094563D"/>
    <w:rsid w:val="009457B9"/>
    <w:rsid w:val="009459BC"/>
    <w:rsid w:val="009459CE"/>
    <w:rsid w:val="00945AD6"/>
    <w:rsid w:val="00945FEF"/>
    <w:rsid w:val="0094625E"/>
    <w:rsid w:val="00946C0F"/>
    <w:rsid w:val="00946F32"/>
    <w:rsid w:val="0094727A"/>
    <w:rsid w:val="00947392"/>
    <w:rsid w:val="009474F6"/>
    <w:rsid w:val="009474F9"/>
    <w:rsid w:val="00947581"/>
    <w:rsid w:val="0094761B"/>
    <w:rsid w:val="0094784C"/>
    <w:rsid w:val="00947A06"/>
    <w:rsid w:val="00947A51"/>
    <w:rsid w:val="00947BE1"/>
    <w:rsid w:val="00947BE4"/>
    <w:rsid w:val="00947C28"/>
    <w:rsid w:val="00947CC3"/>
    <w:rsid w:val="00947D00"/>
    <w:rsid w:val="00947F2B"/>
    <w:rsid w:val="00947F89"/>
    <w:rsid w:val="00950069"/>
    <w:rsid w:val="009500AE"/>
    <w:rsid w:val="009502AA"/>
    <w:rsid w:val="009504D1"/>
    <w:rsid w:val="009505F5"/>
    <w:rsid w:val="00950785"/>
    <w:rsid w:val="00950870"/>
    <w:rsid w:val="009509C1"/>
    <w:rsid w:val="00950D15"/>
    <w:rsid w:val="0095109D"/>
    <w:rsid w:val="0095146C"/>
    <w:rsid w:val="0095183C"/>
    <w:rsid w:val="009518C4"/>
    <w:rsid w:val="00951C33"/>
    <w:rsid w:val="00951E26"/>
    <w:rsid w:val="00951F2E"/>
    <w:rsid w:val="0095244E"/>
    <w:rsid w:val="009524AA"/>
    <w:rsid w:val="00952692"/>
    <w:rsid w:val="00953142"/>
    <w:rsid w:val="0095324C"/>
    <w:rsid w:val="009536EF"/>
    <w:rsid w:val="009538B7"/>
    <w:rsid w:val="009544C1"/>
    <w:rsid w:val="00954804"/>
    <w:rsid w:val="00955006"/>
    <w:rsid w:val="0095562B"/>
    <w:rsid w:val="00955674"/>
    <w:rsid w:val="00955715"/>
    <w:rsid w:val="00955AA1"/>
    <w:rsid w:val="00955CA3"/>
    <w:rsid w:val="00955DE5"/>
    <w:rsid w:val="00955F7E"/>
    <w:rsid w:val="0095611E"/>
    <w:rsid w:val="00956305"/>
    <w:rsid w:val="0095647D"/>
    <w:rsid w:val="0095686E"/>
    <w:rsid w:val="00956AE6"/>
    <w:rsid w:val="00956D29"/>
    <w:rsid w:val="00956F7E"/>
    <w:rsid w:val="00956F81"/>
    <w:rsid w:val="00956FE1"/>
    <w:rsid w:val="0095723B"/>
    <w:rsid w:val="009572E4"/>
    <w:rsid w:val="00957699"/>
    <w:rsid w:val="009577E4"/>
    <w:rsid w:val="00957811"/>
    <w:rsid w:val="009578CF"/>
    <w:rsid w:val="009578ED"/>
    <w:rsid w:val="00957E25"/>
    <w:rsid w:val="00957EBC"/>
    <w:rsid w:val="00960500"/>
    <w:rsid w:val="009609B1"/>
    <w:rsid w:val="00960DA5"/>
    <w:rsid w:val="00960E7D"/>
    <w:rsid w:val="00961324"/>
    <w:rsid w:val="009617EE"/>
    <w:rsid w:val="00961800"/>
    <w:rsid w:val="009622BD"/>
    <w:rsid w:val="00962472"/>
    <w:rsid w:val="00962553"/>
    <w:rsid w:val="00962726"/>
    <w:rsid w:val="00962952"/>
    <w:rsid w:val="0096298F"/>
    <w:rsid w:val="00962CA1"/>
    <w:rsid w:val="00962E00"/>
    <w:rsid w:val="00963364"/>
    <w:rsid w:val="00963371"/>
    <w:rsid w:val="009633EC"/>
    <w:rsid w:val="00963A94"/>
    <w:rsid w:val="00963F34"/>
    <w:rsid w:val="00964002"/>
    <w:rsid w:val="00964495"/>
    <w:rsid w:val="00964591"/>
    <w:rsid w:val="00964598"/>
    <w:rsid w:val="00964B52"/>
    <w:rsid w:val="00964DD6"/>
    <w:rsid w:val="00964E9E"/>
    <w:rsid w:val="00964F1F"/>
    <w:rsid w:val="00964F8D"/>
    <w:rsid w:val="009651EA"/>
    <w:rsid w:val="009652BB"/>
    <w:rsid w:val="009653D7"/>
    <w:rsid w:val="009655C5"/>
    <w:rsid w:val="00965614"/>
    <w:rsid w:val="00965630"/>
    <w:rsid w:val="009656BA"/>
    <w:rsid w:val="009659D3"/>
    <w:rsid w:val="00965A84"/>
    <w:rsid w:val="00965E38"/>
    <w:rsid w:val="00966328"/>
    <w:rsid w:val="0096646F"/>
    <w:rsid w:val="00966694"/>
    <w:rsid w:val="009668B2"/>
    <w:rsid w:val="009669FC"/>
    <w:rsid w:val="00966A91"/>
    <w:rsid w:val="00966DAD"/>
    <w:rsid w:val="00966F04"/>
    <w:rsid w:val="00967043"/>
    <w:rsid w:val="00967E63"/>
    <w:rsid w:val="009702A1"/>
    <w:rsid w:val="0097033D"/>
    <w:rsid w:val="00970402"/>
    <w:rsid w:val="00970655"/>
    <w:rsid w:val="0097073A"/>
    <w:rsid w:val="00970744"/>
    <w:rsid w:val="00970974"/>
    <w:rsid w:val="00970A78"/>
    <w:rsid w:val="00970BE7"/>
    <w:rsid w:val="00970C74"/>
    <w:rsid w:val="00971009"/>
    <w:rsid w:val="00971066"/>
    <w:rsid w:val="00971482"/>
    <w:rsid w:val="00971891"/>
    <w:rsid w:val="0097192E"/>
    <w:rsid w:val="00971B03"/>
    <w:rsid w:val="00971D52"/>
    <w:rsid w:val="00971F4B"/>
    <w:rsid w:val="00972180"/>
    <w:rsid w:val="009722C0"/>
    <w:rsid w:val="0097248F"/>
    <w:rsid w:val="0097294C"/>
    <w:rsid w:val="009729D8"/>
    <w:rsid w:val="00972F09"/>
    <w:rsid w:val="0097317E"/>
    <w:rsid w:val="009731E2"/>
    <w:rsid w:val="009731EB"/>
    <w:rsid w:val="0097388D"/>
    <w:rsid w:val="00973FC9"/>
    <w:rsid w:val="009742E4"/>
    <w:rsid w:val="009743EC"/>
    <w:rsid w:val="00974828"/>
    <w:rsid w:val="0097483F"/>
    <w:rsid w:val="00974B12"/>
    <w:rsid w:val="00974C84"/>
    <w:rsid w:val="00974FDA"/>
    <w:rsid w:val="009754C1"/>
    <w:rsid w:val="009758DB"/>
    <w:rsid w:val="00975AFC"/>
    <w:rsid w:val="00975BB3"/>
    <w:rsid w:val="00975CB1"/>
    <w:rsid w:val="00975E7C"/>
    <w:rsid w:val="00976021"/>
    <w:rsid w:val="009761E0"/>
    <w:rsid w:val="00976402"/>
    <w:rsid w:val="009764AA"/>
    <w:rsid w:val="00976808"/>
    <w:rsid w:val="00976BC1"/>
    <w:rsid w:val="00977176"/>
    <w:rsid w:val="00977435"/>
    <w:rsid w:val="0097747C"/>
    <w:rsid w:val="00977A95"/>
    <w:rsid w:val="00977AC4"/>
    <w:rsid w:val="00977C8B"/>
    <w:rsid w:val="00980296"/>
    <w:rsid w:val="0098064B"/>
    <w:rsid w:val="009806F4"/>
    <w:rsid w:val="00980779"/>
    <w:rsid w:val="00980960"/>
    <w:rsid w:val="00980C49"/>
    <w:rsid w:val="00981198"/>
    <w:rsid w:val="009811F9"/>
    <w:rsid w:val="009813F4"/>
    <w:rsid w:val="009816B9"/>
    <w:rsid w:val="00981734"/>
    <w:rsid w:val="00981886"/>
    <w:rsid w:val="00981A03"/>
    <w:rsid w:val="00981A3F"/>
    <w:rsid w:val="00981B60"/>
    <w:rsid w:val="00981E3A"/>
    <w:rsid w:val="0098210E"/>
    <w:rsid w:val="009821C3"/>
    <w:rsid w:val="00982B5D"/>
    <w:rsid w:val="00982D03"/>
    <w:rsid w:val="00982DE5"/>
    <w:rsid w:val="00982DF5"/>
    <w:rsid w:val="00982E2E"/>
    <w:rsid w:val="00982E5E"/>
    <w:rsid w:val="009831F5"/>
    <w:rsid w:val="00983525"/>
    <w:rsid w:val="0098392B"/>
    <w:rsid w:val="00983B10"/>
    <w:rsid w:val="00983B65"/>
    <w:rsid w:val="00984045"/>
    <w:rsid w:val="009840F0"/>
    <w:rsid w:val="009841BC"/>
    <w:rsid w:val="00984422"/>
    <w:rsid w:val="009844FC"/>
    <w:rsid w:val="00984531"/>
    <w:rsid w:val="009845CF"/>
    <w:rsid w:val="0098483C"/>
    <w:rsid w:val="00984B39"/>
    <w:rsid w:val="00984BF2"/>
    <w:rsid w:val="00984E59"/>
    <w:rsid w:val="00984EE6"/>
    <w:rsid w:val="009851F7"/>
    <w:rsid w:val="009853FC"/>
    <w:rsid w:val="00985735"/>
    <w:rsid w:val="009859BB"/>
    <w:rsid w:val="00985AB2"/>
    <w:rsid w:val="00985B48"/>
    <w:rsid w:val="00985B69"/>
    <w:rsid w:val="00985BE7"/>
    <w:rsid w:val="00985D05"/>
    <w:rsid w:val="0098602F"/>
    <w:rsid w:val="009860E3"/>
    <w:rsid w:val="00986614"/>
    <w:rsid w:val="009869C5"/>
    <w:rsid w:val="00986AD8"/>
    <w:rsid w:val="00986E4C"/>
    <w:rsid w:val="009870BD"/>
    <w:rsid w:val="00987410"/>
    <w:rsid w:val="00987D79"/>
    <w:rsid w:val="00990036"/>
    <w:rsid w:val="00990058"/>
    <w:rsid w:val="009914BB"/>
    <w:rsid w:val="00991788"/>
    <w:rsid w:val="009919A8"/>
    <w:rsid w:val="00991B84"/>
    <w:rsid w:val="00991D9D"/>
    <w:rsid w:val="00991F83"/>
    <w:rsid w:val="00991FDB"/>
    <w:rsid w:val="0099214A"/>
    <w:rsid w:val="0099256D"/>
    <w:rsid w:val="00992C26"/>
    <w:rsid w:val="00992E5F"/>
    <w:rsid w:val="00993282"/>
    <w:rsid w:val="009932EB"/>
    <w:rsid w:val="00993573"/>
    <w:rsid w:val="00993CAE"/>
    <w:rsid w:val="00993EA7"/>
    <w:rsid w:val="00994498"/>
    <w:rsid w:val="0099494A"/>
    <w:rsid w:val="00994C12"/>
    <w:rsid w:val="00994D8E"/>
    <w:rsid w:val="00994DB5"/>
    <w:rsid w:val="00994E3D"/>
    <w:rsid w:val="00994E56"/>
    <w:rsid w:val="00995748"/>
    <w:rsid w:val="00995869"/>
    <w:rsid w:val="00995925"/>
    <w:rsid w:val="00995A05"/>
    <w:rsid w:val="00995C43"/>
    <w:rsid w:val="00995E7B"/>
    <w:rsid w:val="00995E9E"/>
    <w:rsid w:val="00996127"/>
    <w:rsid w:val="009961AE"/>
    <w:rsid w:val="00996446"/>
    <w:rsid w:val="009964EE"/>
    <w:rsid w:val="00996868"/>
    <w:rsid w:val="00996C72"/>
    <w:rsid w:val="00996F1C"/>
    <w:rsid w:val="00996F4F"/>
    <w:rsid w:val="0099707A"/>
    <w:rsid w:val="009970B5"/>
    <w:rsid w:val="009971B4"/>
    <w:rsid w:val="009973F1"/>
    <w:rsid w:val="00997BFC"/>
    <w:rsid w:val="00997D82"/>
    <w:rsid w:val="00997DCB"/>
    <w:rsid w:val="009A00D4"/>
    <w:rsid w:val="009A01EC"/>
    <w:rsid w:val="009A027E"/>
    <w:rsid w:val="009A032E"/>
    <w:rsid w:val="009A0402"/>
    <w:rsid w:val="009A0B6F"/>
    <w:rsid w:val="009A0E8C"/>
    <w:rsid w:val="009A1263"/>
    <w:rsid w:val="009A1797"/>
    <w:rsid w:val="009A1B08"/>
    <w:rsid w:val="009A1DD4"/>
    <w:rsid w:val="009A225B"/>
    <w:rsid w:val="009A280C"/>
    <w:rsid w:val="009A2933"/>
    <w:rsid w:val="009A29B2"/>
    <w:rsid w:val="009A2B3D"/>
    <w:rsid w:val="009A31CC"/>
    <w:rsid w:val="009A34FC"/>
    <w:rsid w:val="009A356B"/>
    <w:rsid w:val="009A3745"/>
    <w:rsid w:val="009A3B32"/>
    <w:rsid w:val="009A3B64"/>
    <w:rsid w:val="009A3B6F"/>
    <w:rsid w:val="009A3D7B"/>
    <w:rsid w:val="009A3FB2"/>
    <w:rsid w:val="009A4667"/>
    <w:rsid w:val="009A477D"/>
    <w:rsid w:val="009A47C9"/>
    <w:rsid w:val="009A47CF"/>
    <w:rsid w:val="009A47D7"/>
    <w:rsid w:val="009A4F1E"/>
    <w:rsid w:val="009A5009"/>
    <w:rsid w:val="009A5129"/>
    <w:rsid w:val="009A512F"/>
    <w:rsid w:val="009A516C"/>
    <w:rsid w:val="009A517B"/>
    <w:rsid w:val="009A5324"/>
    <w:rsid w:val="009A555F"/>
    <w:rsid w:val="009A5BB4"/>
    <w:rsid w:val="009A5D4A"/>
    <w:rsid w:val="009A5F18"/>
    <w:rsid w:val="009A5F1D"/>
    <w:rsid w:val="009A6064"/>
    <w:rsid w:val="009A621A"/>
    <w:rsid w:val="009A644D"/>
    <w:rsid w:val="009A6846"/>
    <w:rsid w:val="009A6EAA"/>
    <w:rsid w:val="009A6FEA"/>
    <w:rsid w:val="009A7374"/>
    <w:rsid w:val="009A7651"/>
    <w:rsid w:val="009A7A3F"/>
    <w:rsid w:val="009A7DDB"/>
    <w:rsid w:val="009A7E41"/>
    <w:rsid w:val="009B015E"/>
    <w:rsid w:val="009B025F"/>
    <w:rsid w:val="009B0532"/>
    <w:rsid w:val="009B0D27"/>
    <w:rsid w:val="009B0DF8"/>
    <w:rsid w:val="009B118C"/>
    <w:rsid w:val="009B18E3"/>
    <w:rsid w:val="009B1A4B"/>
    <w:rsid w:val="009B1BFA"/>
    <w:rsid w:val="009B1C0D"/>
    <w:rsid w:val="009B1F27"/>
    <w:rsid w:val="009B236D"/>
    <w:rsid w:val="009B23DD"/>
    <w:rsid w:val="009B2433"/>
    <w:rsid w:val="009B2A3B"/>
    <w:rsid w:val="009B2BB6"/>
    <w:rsid w:val="009B2C0B"/>
    <w:rsid w:val="009B2F3B"/>
    <w:rsid w:val="009B3005"/>
    <w:rsid w:val="009B3555"/>
    <w:rsid w:val="009B3734"/>
    <w:rsid w:val="009B3749"/>
    <w:rsid w:val="009B37B1"/>
    <w:rsid w:val="009B3BCB"/>
    <w:rsid w:val="009B4403"/>
    <w:rsid w:val="009B455A"/>
    <w:rsid w:val="009B4C4B"/>
    <w:rsid w:val="009B4E1B"/>
    <w:rsid w:val="009B5011"/>
    <w:rsid w:val="009B5273"/>
    <w:rsid w:val="009B5301"/>
    <w:rsid w:val="009B59FF"/>
    <w:rsid w:val="009B5E10"/>
    <w:rsid w:val="009B6337"/>
    <w:rsid w:val="009B646F"/>
    <w:rsid w:val="009B651A"/>
    <w:rsid w:val="009B69AD"/>
    <w:rsid w:val="009B6A83"/>
    <w:rsid w:val="009B777D"/>
    <w:rsid w:val="009B7886"/>
    <w:rsid w:val="009B79A0"/>
    <w:rsid w:val="009B7C7D"/>
    <w:rsid w:val="009C016F"/>
    <w:rsid w:val="009C0627"/>
    <w:rsid w:val="009C08B6"/>
    <w:rsid w:val="009C0E67"/>
    <w:rsid w:val="009C1163"/>
    <w:rsid w:val="009C1578"/>
    <w:rsid w:val="009C1844"/>
    <w:rsid w:val="009C1BC0"/>
    <w:rsid w:val="009C1BDA"/>
    <w:rsid w:val="009C1BE3"/>
    <w:rsid w:val="009C1CB2"/>
    <w:rsid w:val="009C1E05"/>
    <w:rsid w:val="009C1F2D"/>
    <w:rsid w:val="009C1F9C"/>
    <w:rsid w:val="009C2051"/>
    <w:rsid w:val="009C20B4"/>
    <w:rsid w:val="009C23B6"/>
    <w:rsid w:val="009C23EE"/>
    <w:rsid w:val="009C2964"/>
    <w:rsid w:val="009C2AFD"/>
    <w:rsid w:val="009C2B37"/>
    <w:rsid w:val="009C2F59"/>
    <w:rsid w:val="009C2F7C"/>
    <w:rsid w:val="009C3087"/>
    <w:rsid w:val="009C3122"/>
    <w:rsid w:val="009C320B"/>
    <w:rsid w:val="009C3621"/>
    <w:rsid w:val="009C36DB"/>
    <w:rsid w:val="009C36DF"/>
    <w:rsid w:val="009C3A4D"/>
    <w:rsid w:val="009C3BC9"/>
    <w:rsid w:val="009C3E12"/>
    <w:rsid w:val="009C4A96"/>
    <w:rsid w:val="009C4ADF"/>
    <w:rsid w:val="009C4EDB"/>
    <w:rsid w:val="009C4F77"/>
    <w:rsid w:val="009C51DB"/>
    <w:rsid w:val="009C5208"/>
    <w:rsid w:val="009C529C"/>
    <w:rsid w:val="009C566B"/>
    <w:rsid w:val="009C5907"/>
    <w:rsid w:val="009C5955"/>
    <w:rsid w:val="009C5A0C"/>
    <w:rsid w:val="009C5B79"/>
    <w:rsid w:val="009C5C52"/>
    <w:rsid w:val="009C5CC3"/>
    <w:rsid w:val="009C61DF"/>
    <w:rsid w:val="009C63F4"/>
    <w:rsid w:val="009C6498"/>
    <w:rsid w:val="009C64BA"/>
    <w:rsid w:val="009C6565"/>
    <w:rsid w:val="009C6720"/>
    <w:rsid w:val="009C6758"/>
    <w:rsid w:val="009C6A45"/>
    <w:rsid w:val="009C6AC9"/>
    <w:rsid w:val="009C6BEE"/>
    <w:rsid w:val="009C6D07"/>
    <w:rsid w:val="009C6D88"/>
    <w:rsid w:val="009C71C7"/>
    <w:rsid w:val="009C7416"/>
    <w:rsid w:val="009C753A"/>
    <w:rsid w:val="009C79F1"/>
    <w:rsid w:val="009C7A27"/>
    <w:rsid w:val="009D00B3"/>
    <w:rsid w:val="009D04C8"/>
    <w:rsid w:val="009D06C0"/>
    <w:rsid w:val="009D0A13"/>
    <w:rsid w:val="009D0B9E"/>
    <w:rsid w:val="009D0D27"/>
    <w:rsid w:val="009D12B4"/>
    <w:rsid w:val="009D1332"/>
    <w:rsid w:val="009D1364"/>
    <w:rsid w:val="009D1437"/>
    <w:rsid w:val="009D1520"/>
    <w:rsid w:val="009D1AB5"/>
    <w:rsid w:val="009D1D7F"/>
    <w:rsid w:val="009D1F33"/>
    <w:rsid w:val="009D1F5E"/>
    <w:rsid w:val="009D2114"/>
    <w:rsid w:val="009D218D"/>
    <w:rsid w:val="009D2270"/>
    <w:rsid w:val="009D2770"/>
    <w:rsid w:val="009D285F"/>
    <w:rsid w:val="009D2B03"/>
    <w:rsid w:val="009D2B81"/>
    <w:rsid w:val="009D311C"/>
    <w:rsid w:val="009D32F6"/>
    <w:rsid w:val="009D353A"/>
    <w:rsid w:val="009D3A02"/>
    <w:rsid w:val="009D3BA6"/>
    <w:rsid w:val="009D3CEA"/>
    <w:rsid w:val="009D3E83"/>
    <w:rsid w:val="009D484F"/>
    <w:rsid w:val="009D4AB5"/>
    <w:rsid w:val="009D4D01"/>
    <w:rsid w:val="009D4DE4"/>
    <w:rsid w:val="009D4F18"/>
    <w:rsid w:val="009D545A"/>
    <w:rsid w:val="009D5474"/>
    <w:rsid w:val="009D57F8"/>
    <w:rsid w:val="009D587A"/>
    <w:rsid w:val="009D5CD0"/>
    <w:rsid w:val="009D5D11"/>
    <w:rsid w:val="009D5D9A"/>
    <w:rsid w:val="009D5F1D"/>
    <w:rsid w:val="009D5F64"/>
    <w:rsid w:val="009D65C4"/>
    <w:rsid w:val="009D65DD"/>
    <w:rsid w:val="009D683F"/>
    <w:rsid w:val="009D6AC2"/>
    <w:rsid w:val="009D6DD9"/>
    <w:rsid w:val="009D77CA"/>
    <w:rsid w:val="009D7B6E"/>
    <w:rsid w:val="009D7BE4"/>
    <w:rsid w:val="009D7EDC"/>
    <w:rsid w:val="009E0062"/>
    <w:rsid w:val="009E01FA"/>
    <w:rsid w:val="009E05B1"/>
    <w:rsid w:val="009E08B3"/>
    <w:rsid w:val="009E0C44"/>
    <w:rsid w:val="009E0C76"/>
    <w:rsid w:val="009E1195"/>
    <w:rsid w:val="009E1263"/>
    <w:rsid w:val="009E13E1"/>
    <w:rsid w:val="009E145B"/>
    <w:rsid w:val="009E177E"/>
    <w:rsid w:val="009E1FFF"/>
    <w:rsid w:val="009E2888"/>
    <w:rsid w:val="009E2978"/>
    <w:rsid w:val="009E2A59"/>
    <w:rsid w:val="009E2F44"/>
    <w:rsid w:val="009E32AD"/>
    <w:rsid w:val="009E3C69"/>
    <w:rsid w:val="009E3E1F"/>
    <w:rsid w:val="009E4240"/>
    <w:rsid w:val="009E4CE8"/>
    <w:rsid w:val="009E4EA7"/>
    <w:rsid w:val="009E51A1"/>
    <w:rsid w:val="009E52F2"/>
    <w:rsid w:val="009E533A"/>
    <w:rsid w:val="009E57AF"/>
    <w:rsid w:val="009E57D9"/>
    <w:rsid w:val="009E5A15"/>
    <w:rsid w:val="009E5EAC"/>
    <w:rsid w:val="009E60BA"/>
    <w:rsid w:val="009E6247"/>
    <w:rsid w:val="009E62B4"/>
    <w:rsid w:val="009E635D"/>
    <w:rsid w:val="009E68A9"/>
    <w:rsid w:val="009E7154"/>
    <w:rsid w:val="009E7301"/>
    <w:rsid w:val="009E74D1"/>
    <w:rsid w:val="009E752A"/>
    <w:rsid w:val="009E7563"/>
    <w:rsid w:val="009E7687"/>
    <w:rsid w:val="009E7AFB"/>
    <w:rsid w:val="009E7C05"/>
    <w:rsid w:val="009E7E93"/>
    <w:rsid w:val="009F002B"/>
    <w:rsid w:val="009F01A4"/>
    <w:rsid w:val="009F0480"/>
    <w:rsid w:val="009F0593"/>
    <w:rsid w:val="009F06C3"/>
    <w:rsid w:val="009F0D5F"/>
    <w:rsid w:val="009F0E7B"/>
    <w:rsid w:val="009F0F2D"/>
    <w:rsid w:val="009F0F7F"/>
    <w:rsid w:val="009F1035"/>
    <w:rsid w:val="009F10BC"/>
    <w:rsid w:val="009F1131"/>
    <w:rsid w:val="009F128F"/>
    <w:rsid w:val="009F14EF"/>
    <w:rsid w:val="009F1532"/>
    <w:rsid w:val="009F157D"/>
    <w:rsid w:val="009F193E"/>
    <w:rsid w:val="009F1F05"/>
    <w:rsid w:val="009F2083"/>
    <w:rsid w:val="009F2087"/>
    <w:rsid w:val="009F2155"/>
    <w:rsid w:val="009F23AD"/>
    <w:rsid w:val="009F245C"/>
    <w:rsid w:val="009F24A8"/>
    <w:rsid w:val="009F2860"/>
    <w:rsid w:val="009F2919"/>
    <w:rsid w:val="009F2AD4"/>
    <w:rsid w:val="009F2E32"/>
    <w:rsid w:val="009F2E60"/>
    <w:rsid w:val="009F3039"/>
    <w:rsid w:val="009F359B"/>
    <w:rsid w:val="009F35FC"/>
    <w:rsid w:val="009F39B4"/>
    <w:rsid w:val="009F3EB3"/>
    <w:rsid w:val="009F3FF9"/>
    <w:rsid w:val="009F43E1"/>
    <w:rsid w:val="009F4480"/>
    <w:rsid w:val="009F46EF"/>
    <w:rsid w:val="009F4CE6"/>
    <w:rsid w:val="009F526D"/>
    <w:rsid w:val="009F569B"/>
    <w:rsid w:val="009F58E2"/>
    <w:rsid w:val="009F59D9"/>
    <w:rsid w:val="009F5BF9"/>
    <w:rsid w:val="009F5C72"/>
    <w:rsid w:val="009F5D4F"/>
    <w:rsid w:val="009F5DD3"/>
    <w:rsid w:val="009F6352"/>
    <w:rsid w:val="009F7B92"/>
    <w:rsid w:val="009F7FC2"/>
    <w:rsid w:val="00A00007"/>
    <w:rsid w:val="00A00333"/>
    <w:rsid w:val="00A006B3"/>
    <w:rsid w:val="00A00811"/>
    <w:rsid w:val="00A009A1"/>
    <w:rsid w:val="00A00A8E"/>
    <w:rsid w:val="00A00AA8"/>
    <w:rsid w:val="00A00BAC"/>
    <w:rsid w:val="00A0101A"/>
    <w:rsid w:val="00A01050"/>
    <w:rsid w:val="00A01154"/>
    <w:rsid w:val="00A0123C"/>
    <w:rsid w:val="00A0127B"/>
    <w:rsid w:val="00A01342"/>
    <w:rsid w:val="00A0139B"/>
    <w:rsid w:val="00A01624"/>
    <w:rsid w:val="00A01632"/>
    <w:rsid w:val="00A01928"/>
    <w:rsid w:val="00A01AF8"/>
    <w:rsid w:val="00A01C0F"/>
    <w:rsid w:val="00A01DC4"/>
    <w:rsid w:val="00A01E92"/>
    <w:rsid w:val="00A024A9"/>
    <w:rsid w:val="00A0297E"/>
    <w:rsid w:val="00A02AA7"/>
    <w:rsid w:val="00A02E53"/>
    <w:rsid w:val="00A0384F"/>
    <w:rsid w:val="00A03AA8"/>
    <w:rsid w:val="00A03B99"/>
    <w:rsid w:val="00A03F90"/>
    <w:rsid w:val="00A040E1"/>
    <w:rsid w:val="00A040F6"/>
    <w:rsid w:val="00A042F8"/>
    <w:rsid w:val="00A0432B"/>
    <w:rsid w:val="00A046FC"/>
    <w:rsid w:val="00A04BDB"/>
    <w:rsid w:val="00A04E73"/>
    <w:rsid w:val="00A04FA6"/>
    <w:rsid w:val="00A0552E"/>
    <w:rsid w:val="00A05838"/>
    <w:rsid w:val="00A0586A"/>
    <w:rsid w:val="00A05BFE"/>
    <w:rsid w:val="00A061B4"/>
    <w:rsid w:val="00A061D0"/>
    <w:rsid w:val="00A063B2"/>
    <w:rsid w:val="00A067D4"/>
    <w:rsid w:val="00A068C9"/>
    <w:rsid w:val="00A06921"/>
    <w:rsid w:val="00A06B87"/>
    <w:rsid w:val="00A06D49"/>
    <w:rsid w:val="00A06F44"/>
    <w:rsid w:val="00A0764D"/>
    <w:rsid w:val="00A077FD"/>
    <w:rsid w:val="00A07E07"/>
    <w:rsid w:val="00A07F90"/>
    <w:rsid w:val="00A101A0"/>
    <w:rsid w:val="00A102C6"/>
    <w:rsid w:val="00A102F2"/>
    <w:rsid w:val="00A10304"/>
    <w:rsid w:val="00A10637"/>
    <w:rsid w:val="00A107E1"/>
    <w:rsid w:val="00A1103B"/>
    <w:rsid w:val="00A11299"/>
    <w:rsid w:val="00A11329"/>
    <w:rsid w:val="00A1135B"/>
    <w:rsid w:val="00A116A9"/>
    <w:rsid w:val="00A11A30"/>
    <w:rsid w:val="00A11ACE"/>
    <w:rsid w:val="00A11B24"/>
    <w:rsid w:val="00A11C52"/>
    <w:rsid w:val="00A11E9C"/>
    <w:rsid w:val="00A120EB"/>
    <w:rsid w:val="00A127EE"/>
    <w:rsid w:val="00A12905"/>
    <w:rsid w:val="00A12AF7"/>
    <w:rsid w:val="00A12C9A"/>
    <w:rsid w:val="00A12CB5"/>
    <w:rsid w:val="00A12D29"/>
    <w:rsid w:val="00A12E9D"/>
    <w:rsid w:val="00A13220"/>
    <w:rsid w:val="00A13747"/>
    <w:rsid w:val="00A13B02"/>
    <w:rsid w:val="00A13B3B"/>
    <w:rsid w:val="00A1475D"/>
    <w:rsid w:val="00A147AD"/>
    <w:rsid w:val="00A14A26"/>
    <w:rsid w:val="00A14EE0"/>
    <w:rsid w:val="00A15078"/>
    <w:rsid w:val="00A1527E"/>
    <w:rsid w:val="00A1532F"/>
    <w:rsid w:val="00A15803"/>
    <w:rsid w:val="00A1586C"/>
    <w:rsid w:val="00A16123"/>
    <w:rsid w:val="00A16821"/>
    <w:rsid w:val="00A16A61"/>
    <w:rsid w:val="00A16B41"/>
    <w:rsid w:val="00A16DD9"/>
    <w:rsid w:val="00A16EAC"/>
    <w:rsid w:val="00A17201"/>
    <w:rsid w:val="00A17255"/>
    <w:rsid w:val="00A172BB"/>
    <w:rsid w:val="00A17652"/>
    <w:rsid w:val="00A17876"/>
    <w:rsid w:val="00A178DA"/>
    <w:rsid w:val="00A17918"/>
    <w:rsid w:val="00A201D0"/>
    <w:rsid w:val="00A202A9"/>
    <w:rsid w:val="00A20370"/>
    <w:rsid w:val="00A20720"/>
    <w:rsid w:val="00A20810"/>
    <w:rsid w:val="00A20A36"/>
    <w:rsid w:val="00A20CB5"/>
    <w:rsid w:val="00A20ECB"/>
    <w:rsid w:val="00A21258"/>
    <w:rsid w:val="00A21491"/>
    <w:rsid w:val="00A215A5"/>
    <w:rsid w:val="00A223D7"/>
    <w:rsid w:val="00A2241F"/>
    <w:rsid w:val="00A22442"/>
    <w:rsid w:val="00A2249E"/>
    <w:rsid w:val="00A2251D"/>
    <w:rsid w:val="00A22CA0"/>
    <w:rsid w:val="00A230AC"/>
    <w:rsid w:val="00A23601"/>
    <w:rsid w:val="00A23683"/>
    <w:rsid w:val="00A236BA"/>
    <w:rsid w:val="00A239FB"/>
    <w:rsid w:val="00A23D67"/>
    <w:rsid w:val="00A23EAA"/>
    <w:rsid w:val="00A23F6B"/>
    <w:rsid w:val="00A240D4"/>
    <w:rsid w:val="00A2442F"/>
    <w:rsid w:val="00A2483C"/>
    <w:rsid w:val="00A24A74"/>
    <w:rsid w:val="00A24C3A"/>
    <w:rsid w:val="00A24F4A"/>
    <w:rsid w:val="00A252A9"/>
    <w:rsid w:val="00A253E1"/>
    <w:rsid w:val="00A253F0"/>
    <w:rsid w:val="00A254A8"/>
    <w:rsid w:val="00A258CE"/>
    <w:rsid w:val="00A25EE3"/>
    <w:rsid w:val="00A261BE"/>
    <w:rsid w:val="00A262EE"/>
    <w:rsid w:val="00A2635C"/>
    <w:rsid w:val="00A26634"/>
    <w:rsid w:val="00A2669F"/>
    <w:rsid w:val="00A26774"/>
    <w:rsid w:val="00A26BBB"/>
    <w:rsid w:val="00A26EF9"/>
    <w:rsid w:val="00A273DD"/>
    <w:rsid w:val="00A2747F"/>
    <w:rsid w:val="00A2772B"/>
    <w:rsid w:val="00A278D6"/>
    <w:rsid w:val="00A27965"/>
    <w:rsid w:val="00A27A66"/>
    <w:rsid w:val="00A27A99"/>
    <w:rsid w:val="00A27B49"/>
    <w:rsid w:val="00A27CA1"/>
    <w:rsid w:val="00A27D06"/>
    <w:rsid w:val="00A27D7D"/>
    <w:rsid w:val="00A30DC9"/>
    <w:rsid w:val="00A31364"/>
    <w:rsid w:val="00A31567"/>
    <w:rsid w:val="00A31891"/>
    <w:rsid w:val="00A31AA1"/>
    <w:rsid w:val="00A31ECA"/>
    <w:rsid w:val="00A320D9"/>
    <w:rsid w:val="00A32807"/>
    <w:rsid w:val="00A32A9D"/>
    <w:rsid w:val="00A32B0A"/>
    <w:rsid w:val="00A32D29"/>
    <w:rsid w:val="00A332F9"/>
    <w:rsid w:val="00A33396"/>
    <w:rsid w:val="00A33880"/>
    <w:rsid w:val="00A33AF8"/>
    <w:rsid w:val="00A33CD1"/>
    <w:rsid w:val="00A33CF6"/>
    <w:rsid w:val="00A33E6D"/>
    <w:rsid w:val="00A33FE1"/>
    <w:rsid w:val="00A344AD"/>
    <w:rsid w:val="00A34873"/>
    <w:rsid w:val="00A34EFD"/>
    <w:rsid w:val="00A35201"/>
    <w:rsid w:val="00A354CF"/>
    <w:rsid w:val="00A354D9"/>
    <w:rsid w:val="00A36118"/>
    <w:rsid w:val="00A362A1"/>
    <w:rsid w:val="00A362DE"/>
    <w:rsid w:val="00A3641F"/>
    <w:rsid w:val="00A36652"/>
    <w:rsid w:val="00A36A30"/>
    <w:rsid w:val="00A36A7D"/>
    <w:rsid w:val="00A370C3"/>
    <w:rsid w:val="00A37423"/>
    <w:rsid w:val="00A377BB"/>
    <w:rsid w:val="00A378B8"/>
    <w:rsid w:val="00A379C5"/>
    <w:rsid w:val="00A37B09"/>
    <w:rsid w:val="00A37BD2"/>
    <w:rsid w:val="00A37E1A"/>
    <w:rsid w:val="00A40A8E"/>
    <w:rsid w:val="00A40E32"/>
    <w:rsid w:val="00A41089"/>
    <w:rsid w:val="00A41118"/>
    <w:rsid w:val="00A412B1"/>
    <w:rsid w:val="00A413CD"/>
    <w:rsid w:val="00A418C3"/>
    <w:rsid w:val="00A41AAC"/>
    <w:rsid w:val="00A42017"/>
    <w:rsid w:val="00A4258D"/>
    <w:rsid w:val="00A42919"/>
    <w:rsid w:val="00A42987"/>
    <w:rsid w:val="00A429EE"/>
    <w:rsid w:val="00A42A73"/>
    <w:rsid w:val="00A42E4E"/>
    <w:rsid w:val="00A434E2"/>
    <w:rsid w:val="00A4353A"/>
    <w:rsid w:val="00A438D8"/>
    <w:rsid w:val="00A439FD"/>
    <w:rsid w:val="00A43D7F"/>
    <w:rsid w:val="00A4402D"/>
    <w:rsid w:val="00A440E2"/>
    <w:rsid w:val="00A44512"/>
    <w:rsid w:val="00A44610"/>
    <w:rsid w:val="00A448CA"/>
    <w:rsid w:val="00A44F61"/>
    <w:rsid w:val="00A456FC"/>
    <w:rsid w:val="00A4624F"/>
    <w:rsid w:val="00A462BE"/>
    <w:rsid w:val="00A467B6"/>
    <w:rsid w:val="00A469B9"/>
    <w:rsid w:val="00A46A07"/>
    <w:rsid w:val="00A46A62"/>
    <w:rsid w:val="00A46B72"/>
    <w:rsid w:val="00A46BBC"/>
    <w:rsid w:val="00A46D4D"/>
    <w:rsid w:val="00A47370"/>
    <w:rsid w:val="00A4738E"/>
    <w:rsid w:val="00A4758B"/>
    <w:rsid w:val="00A47621"/>
    <w:rsid w:val="00A4792B"/>
    <w:rsid w:val="00A47E40"/>
    <w:rsid w:val="00A47E6B"/>
    <w:rsid w:val="00A47E9B"/>
    <w:rsid w:val="00A47F3F"/>
    <w:rsid w:val="00A47F58"/>
    <w:rsid w:val="00A506C6"/>
    <w:rsid w:val="00A506D1"/>
    <w:rsid w:val="00A5089F"/>
    <w:rsid w:val="00A50AF8"/>
    <w:rsid w:val="00A50C18"/>
    <w:rsid w:val="00A50D7B"/>
    <w:rsid w:val="00A50FA1"/>
    <w:rsid w:val="00A51031"/>
    <w:rsid w:val="00A51352"/>
    <w:rsid w:val="00A51F28"/>
    <w:rsid w:val="00A52347"/>
    <w:rsid w:val="00A52727"/>
    <w:rsid w:val="00A52A85"/>
    <w:rsid w:val="00A52F8E"/>
    <w:rsid w:val="00A535EE"/>
    <w:rsid w:val="00A53724"/>
    <w:rsid w:val="00A5397D"/>
    <w:rsid w:val="00A53B4B"/>
    <w:rsid w:val="00A53BE2"/>
    <w:rsid w:val="00A53C70"/>
    <w:rsid w:val="00A53DE0"/>
    <w:rsid w:val="00A543AD"/>
    <w:rsid w:val="00A5493C"/>
    <w:rsid w:val="00A54F7E"/>
    <w:rsid w:val="00A55324"/>
    <w:rsid w:val="00A55510"/>
    <w:rsid w:val="00A55705"/>
    <w:rsid w:val="00A558DA"/>
    <w:rsid w:val="00A558E4"/>
    <w:rsid w:val="00A55CA1"/>
    <w:rsid w:val="00A55F25"/>
    <w:rsid w:val="00A55F48"/>
    <w:rsid w:val="00A56099"/>
    <w:rsid w:val="00A5622C"/>
    <w:rsid w:val="00A56312"/>
    <w:rsid w:val="00A56716"/>
    <w:rsid w:val="00A56783"/>
    <w:rsid w:val="00A567BC"/>
    <w:rsid w:val="00A56A39"/>
    <w:rsid w:val="00A56CED"/>
    <w:rsid w:val="00A56F5A"/>
    <w:rsid w:val="00A572F7"/>
    <w:rsid w:val="00A573BF"/>
    <w:rsid w:val="00A57486"/>
    <w:rsid w:val="00A57595"/>
    <w:rsid w:val="00A5771B"/>
    <w:rsid w:val="00A5775E"/>
    <w:rsid w:val="00A57943"/>
    <w:rsid w:val="00A57A4C"/>
    <w:rsid w:val="00A57B65"/>
    <w:rsid w:val="00A57C5B"/>
    <w:rsid w:val="00A57FFC"/>
    <w:rsid w:val="00A60246"/>
    <w:rsid w:val="00A60352"/>
    <w:rsid w:val="00A603D0"/>
    <w:rsid w:val="00A60580"/>
    <w:rsid w:val="00A60AD8"/>
    <w:rsid w:val="00A60E16"/>
    <w:rsid w:val="00A60E4C"/>
    <w:rsid w:val="00A61083"/>
    <w:rsid w:val="00A61207"/>
    <w:rsid w:val="00A61368"/>
    <w:rsid w:val="00A61B8A"/>
    <w:rsid w:val="00A61CA7"/>
    <w:rsid w:val="00A61CFC"/>
    <w:rsid w:val="00A61D44"/>
    <w:rsid w:val="00A61DF6"/>
    <w:rsid w:val="00A61F4E"/>
    <w:rsid w:val="00A61F61"/>
    <w:rsid w:val="00A620BD"/>
    <w:rsid w:val="00A62481"/>
    <w:rsid w:val="00A6268C"/>
    <w:rsid w:val="00A626E3"/>
    <w:rsid w:val="00A627A9"/>
    <w:rsid w:val="00A627CD"/>
    <w:rsid w:val="00A62B09"/>
    <w:rsid w:val="00A62C88"/>
    <w:rsid w:val="00A62EA5"/>
    <w:rsid w:val="00A62F47"/>
    <w:rsid w:val="00A6391B"/>
    <w:rsid w:val="00A63AE1"/>
    <w:rsid w:val="00A63ECE"/>
    <w:rsid w:val="00A63EDA"/>
    <w:rsid w:val="00A641DD"/>
    <w:rsid w:val="00A643F5"/>
    <w:rsid w:val="00A64441"/>
    <w:rsid w:val="00A6476E"/>
    <w:rsid w:val="00A647A2"/>
    <w:rsid w:val="00A6481A"/>
    <w:rsid w:val="00A64B14"/>
    <w:rsid w:val="00A651C0"/>
    <w:rsid w:val="00A65601"/>
    <w:rsid w:val="00A658C2"/>
    <w:rsid w:val="00A66133"/>
    <w:rsid w:val="00A66689"/>
    <w:rsid w:val="00A6671F"/>
    <w:rsid w:val="00A66F26"/>
    <w:rsid w:val="00A66FA6"/>
    <w:rsid w:val="00A67065"/>
    <w:rsid w:val="00A67278"/>
    <w:rsid w:val="00A672E4"/>
    <w:rsid w:val="00A67575"/>
    <w:rsid w:val="00A6758C"/>
    <w:rsid w:val="00A6766B"/>
    <w:rsid w:val="00A67D70"/>
    <w:rsid w:val="00A67EFB"/>
    <w:rsid w:val="00A701C7"/>
    <w:rsid w:val="00A704A2"/>
    <w:rsid w:val="00A7051B"/>
    <w:rsid w:val="00A7052A"/>
    <w:rsid w:val="00A7052D"/>
    <w:rsid w:val="00A70A1A"/>
    <w:rsid w:val="00A70C55"/>
    <w:rsid w:val="00A719B9"/>
    <w:rsid w:val="00A71B3F"/>
    <w:rsid w:val="00A71DFD"/>
    <w:rsid w:val="00A71F76"/>
    <w:rsid w:val="00A7214E"/>
    <w:rsid w:val="00A721D1"/>
    <w:rsid w:val="00A723C3"/>
    <w:rsid w:val="00A72579"/>
    <w:rsid w:val="00A727FC"/>
    <w:rsid w:val="00A72816"/>
    <w:rsid w:val="00A729C9"/>
    <w:rsid w:val="00A72A51"/>
    <w:rsid w:val="00A72AE4"/>
    <w:rsid w:val="00A72D36"/>
    <w:rsid w:val="00A73063"/>
    <w:rsid w:val="00A73136"/>
    <w:rsid w:val="00A73763"/>
    <w:rsid w:val="00A7397D"/>
    <w:rsid w:val="00A73CB8"/>
    <w:rsid w:val="00A73FBA"/>
    <w:rsid w:val="00A74072"/>
    <w:rsid w:val="00A74426"/>
    <w:rsid w:val="00A74B21"/>
    <w:rsid w:val="00A74B26"/>
    <w:rsid w:val="00A74B67"/>
    <w:rsid w:val="00A74BDB"/>
    <w:rsid w:val="00A74C74"/>
    <w:rsid w:val="00A74D81"/>
    <w:rsid w:val="00A750E4"/>
    <w:rsid w:val="00A753EB"/>
    <w:rsid w:val="00A75406"/>
    <w:rsid w:val="00A75601"/>
    <w:rsid w:val="00A75791"/>
    <w:rsid w:val="00A75DE2"/>
    <w:rsid w:val="00A7610C"/>
    <w:rsid w:val="00A7612F"/>
    <w:rsid w:val="00A762ED"/>
    <w:rsid w:val="00A7655E"/>
    <w:rsid w:val="00A76645"/>
    <w:rsid w:val="00A7665F"/>
    <w:rsid w:val="00A7681C"/>
    <w:rsid w:val="00A772A4"/>
    <w:rsid w:val="00A7736B"/>
    <w:rsid w:val="00A77830"/>
    <w:rsid w:val="00A77855"/>
    <w:rsid w:val="00A77B7C"/>
    <w:rsid w:val="00A77E94"/>
    <w:rsid w:val="00A805A8"/>
    <w:rsid w:val="00A805C1"/>
    <w:rsid w:val="00A80891"/>
    <w:rsid w:val="00A80BFE"/>
    <w:rsid w:val="00A80CB0"/>
    <w:rsid w:val="00A80CF1"/>
    <w:rsid w:val="00A80D4A"/>
    <w:rsid w:val="00A80D4F"/>
    <w:rsid w:val="00A8106D"/>
    <w:rsid w:val="00A81243"/>
    <w:rsid w:val="00A81386"/>
    <w:rsid w:val="00A8149A"/>
    <w:rsid w:val="00A816F0"/>
    <w:rsid w:val="00A819CC"/>
    <w:rsid w:val="00A81DC6"/>
    <w:rsid w:val="00A81DF9"/>
    <w:rsid w:val="00A81E89"/>
    <w:rsid w:val="00A82048"/>
    <w:rsid w:val="00A825E7"/>
    <w:rsid w:val="00A82604"/>
    <w:rsid w:val="00A82B5F"/>
    <w:rsid w:val="00A832FD"/>
    <w:rsid w:val="00A83779"/>
    <w:rsid w:val="00A8380D"/>
    <w:rsid w:val="00A83A40"/>
    <w:rsid w:val="00A83C53"/>
    <w:rsid w:val="00A84073"/>
    <w:rsid w:val="00A84136"/>
    <w:rsid w:val="00A841AE"/>
    <w:rsid w:val="00A84C9B"/>
    <w:rsid w:val="00A853D9"/>
    <w:rsid w:val="00A853DC"/>
    <w:rsid w:val="00A85CCD"/>
    <w:rsid w:val="00A861CC"/>
    <w:rsid w:val="00A862CF"/>
    <w:rsid w:val="00A86692"/>
    <w:rsid w:val="00A86A4C"/>
    <w:rsid w:val="00A86B36"/>
    <w:rsid w:val="00A86B3B"/>
    <w:rsid w:val="00A86BD9"/>
    <w:rsid w:val="00A86C48"/>
    <w:rsid w:val="00A86E37"/>
    <w:rsid w:val="00A86E5C"/>
    <w:rsid w:val="00A871A0"/>
    <w:rsid w:val="00A872B0"/>
    <w:rsid w:val="00A87697"/>
    <w:rsid w:val="00A87BEA"/>
    <w:rsid w:val="00A87D78"/>
    <w:rsid w:val="00A87E2C"/>
    <w:rsid w:val="00A87E59"/>
    <w:rsid w:val="00A9012C"/>
    <w:rsid w:val="00A9032B"/>
    <w:rsid w:val="00A905E5"/>
    <w:rsid w:val="00A90B3A"/>
    <w:rsid w:val="00A90B87"/>
    <w:rsid w:val="00A90B96"/>
    <w:rsid w:val="00A90D4D"/>
    <w:rsid w:val="00A90F06"/>
    <w:rsid w:val="00A90F8B"/>
    <w:rsid w:val="00A918F8"/>
    <w:rsid w:val="00A91DB5"/>
    <w:rsid w:val="00A91DF0"/>
    <w:rsid w:val="00A91F42"/>
    <w:rsid w:val="00A922EE"/>
    <w:rsid w:val="00A92B5C"/>
    <w:rsid w:val="00A92BBE"/>
    <w:rsid w:val="00A92E2D"/>
    <w:rsid w:val="00A93200"/>
    <w:rsid w:val="00A9323B"/>
    <w:rsid w:val="00A9325B"/>
    <w:rsid w:val="00A936E0"/>
    <w:rsid w:val="00A9393D"/>
    <w:rsid w:val="00A93C59"/>
    <w:rsid w:val="00A93EFE"/>
    <w:rsid w:val="00A94372"/>
    <w:rsid w:val="00A94626"/>
    <w:rsid w:val="00A94DA7"/>
    <w:rsid w:val="00A95282"/>
    <w:rsid w:val="00A953B0"/>
    <w:rsid w:val="00A95517"/>
    <w:rsid w:val="00A959C2"/>
    <w:rsid w:val="00A95A9F"/>
    <w:rsid w:val="00A95BEF"/>
    <w:rsid w:val="00A95FA5"/>
    <w:rsid w:val="00A96049"/>
    <w:rsid w:val="00A962BD"/>
    <w:rsid w:val="00A963E9"/>
    <w:rsid w:val="00A967C4"/>
    <w:rsid w:val="00A96827"/>
    <w:rsid w:val="00A96B14"/>
    <w:rsid w:val="00A96D15"/>
    <w:rsid w:val="00A96DA1"/>
    <w:rsid w:val="00A96E88"/>
    <w:rsid w:val="00A96FAE"/>
    <w:rsid w:val="00A97058"/>
    <w:rsid w:val="00A97232"/>
    <w:rsid w:val="00A97268"/>
    <w:rsid w:val="00A97C8D"/>
    <w:rsid w:val="00A97DDE"/>
    <w:rsid w:val="00AA0119"/>
    <w:rsid w:val="00AA04A8"/>
    <w:rsid w:val="00AA0A83"/>
    <w:rsid w:val="00AA0E8E"/>
    <w:rsid w:val="00AA114E"/>
    <w:rsid w:val="00AA150B"/>
    <w:rsid w:val="00AA154D"/>
    <w:rsid w:val="00AA1A3F"/>
    <w:rsid w:val="00AA1B7C"/>
    <w:rsid w:val="00AA21BE"/>
    <w:rsid w:val="00AA23EC"/>
    <w:rsid w:val="00AA2420"/>
    <w:rsid w:val="00AA24D6"/>
    <w:rsid w:val="00AA2560"/>
    <w:rsid w:val="00AA2657"/>
    <w:rsid w:val="00AA2C10"/>
    <w:rsid w:val="00AA2D81"/>
    <w:rsid w:val="00AA2E57"/>
    <w:rsid w:val="00AA308F"/>
    <w:rsid w:val="00AA3711"/>
    <w:rsid w:val="00AA394C"/>
    <w:rsid w:val="00AA3AC4"/>
    <w:rsid w:val="00AA3BC4"/>
    <w:rsid w:val="00AA406E"/>
    <w:rsid w:val="00AA4361"/>
    <w:rsid w:val="00AA43A8"/>
    <w:rsid w:val="00AA48B8"/>
    <w:rsid w:val="00AA499C"/>
    <w:rsid w:val="00AA4D2D"/>
    <w:rsid w:val="00AA5175"/>
    <w:rsid w:val="00AA5219"/>
    <w:rsid w:val="00AA55B4"/>
    <w:rsid w:val="00AA5D24"/>
    <w:rsid w:val="00AA5FCA"/>
    <w:rsid w:val="00AA601C"/>
    <w:rsid w:val="00AA632A"/>
    <w:rsid w:val="00AA639B"/>
    <w:rsid w:val="00AA63F5"/>
    <w:rsid w:val="00AA67BA"/>
    <w:rsid w:val="00AA6DB6"/>
    <w:rsid w:val="00AA6FDD"/>
    <w:rsid w:val="00AA7008"/>
    <w:rsid w:val="00AA70EB"/>
    <w:rsid w:val="00AA731F"/>
    <w:rsid w:val="00AA750D"/>
    <w:rsid w:val="00AA77BF"/>
    <w:rsid w:val="00AA7DB9"/>
    <w:rsid w:val="00AB008F"/>
    <w:rsid w:val="00AB036D"/>
    <w:rsid w:val="00AB0811"/>
    <w:rsid w:val="00AB08A5"/>
    <w:rsid w:val="00AB0969"/>
    <w:rsid w:val="00AB118C"/>
    <w:rsid w:val="00AB1339"/>
    <w:rsid w:val="00AB1376"/>
    <w:rsid w:val="00AB1459"/>
    <w:rsid w:val="00AB16BE"/>
    <w:rsid w:val="00AB1A09"/>
    <w:rsid w:val="00AB1CAA"/>
    <w:rsid w:val="00AB1FBD"/>
    <w:rsid w:val="00AB2065"/>
    <w:rsid w:val="00AB2110"/>
    <w:rsid w:val="00AB232E"/>
    <w:rsid w:val="00AB235D"/>
    <w:rsid w:val="00AB2602"/>
    <w:rsid w:val="00AB261C"/>
    <w:rsid w:val="00AB283D"/>
    <w:rsid w:val="00AB2973"/>
    <w:rsid w:val="00AB2A5C"/>
    <w:rsid w:val="00AB2B29"/>
    <w:rsid w:val="00AB2C99"/>
    <w:rsid w:val="00AB2E04"/>
    <w:rsid w:val="00AB352C"/>
    <w:rsid w:val="00AB3918"/>
    <w:rsid w:val="00AB3CBC"/>
    <w:rsid w:val="00AB3D03"/>
    <w:rsid w:val="00AB40DC"/>
    <w:rsid w:val="00AB47DE"/>
    <w:rsid w:val="00AB4AB2"/>
    <w:rsid w:val="00AB4AE1"/>
    <w:rsid w:val="00AB4B62"/>
    <w:rsid w:val="00AB4DFB"/>
    <w:rsid w:val="00AB4FFE"/>
    <w:rsid w:val="00AB516E"/>
    <w:rsid w:val="00AB54BA"/>
    <w:rsid w:val="00AB55C1"/>
    <w:rsid w:val="00AB55E3"/>
    <w:rsid w:val="00AB5CB1"/>
    <w:rsid w:val="00AB627C"/>
    <w:rsid w:val="00AB62EE"/>
    <w:rsid w:val="00AB64BE"/>
    <w:rsid w:val="00AB6AD4"/>
    <w:rsid w:val="00AB6BB5"/>
    <w:rsid w:val="00AB6F99"/>
    <w:rsid w:val="00AB70BD"/>
    <w:rsid w:val="00AB7227"/>
    <w:rsid w:val="00AB724C"/>
    <w:rsid w:val="00AB74AB"/>
    <w:rsid w:val="00AB76DB"/>
    <w:rsid w:val="00AB7984"/>
    <w:rsid w:val="00AB79E5"/>
    <w:rsid w:val="00AB7BD2"/>
    <w:rsid w:val="00AB7D1F"/>
    <w:rsid w:val="00AB7E4E"/>
    <w:rsid w:val="00AC001A"/>
    <w:rsid w:val="00AC0509"/>
    <w:rsid w:val="00AC08A3"/>
    <w:rsid w:val="00AC091D"/>
    <w:rsid w:val="00AC0ACC"/>
    <w:rsid w:val="00AC0E5B"/>
    <w:rsid w:val="00AC11C8"/>
    <w:rsid w:val="00AC11E9"/>
    <w:rsid w:val="00AC136C"/>
    <w:rsid w:val="00AC171E"/>
    <w:rsid w:val="00AC1831"/>
    <w:rsid w:val="00AC1AA7"/>
    <w:rsid w:val="00AC1B08"/>
    <w:rsid w:val="00AC1C45"/>
    <w:rsid w:val="00AC1F31"/>
    <w:rsid w:val="00AC1FF9"/>
    <w:rsid w:val="00AC20E2"/>
    <w:rsid w:val="00AC240B"/>
    <w:rsid w:val="00AC2484"/>
    <w:rsid w:val="00AC2590"/>
    <w:rsid w:val="00AC284A"/>
    <w:rsid w:val="00AC2A8F"/>
    <w:rsid w:val="00AC2AA7"/>
    <w:rsid w:val="00AC2BA4"/>
    <w:rsid w:val="00AC2EA4"/>
    <w:rsid w:val="00AC2F04"/>
    <w:rsid w:val="00AC308B"/>
    <w:rsid w:val="00AC314A"/>
    <w:rsid w:val="00AC359F"/>
    <w:rsid w:val="00AC4256"/>
    <w:rsid w:val="00AC42B5"/>
    <w:rsid w:val="00AC42FB"/>
    <w:rsid w:val="00AC48B4"/>
    <w:rsid w:val="00AC498E"/>
    <w:rsid w:val="00AC4998"/>
    <w:rsid w:val="00AC4DF9"/>
    <w:rsid w:val="00AC514F"/>
    <w:rsid w:val="00AC516B"/>
    <w:rsid w:val="00AC5217"/>
    <w:rsid w:val="00AC52E2"/>
    <w:rsid w:val="00AC5565"/>
    <w:rsid w:val="00AC559C"/>
    <w:rsid w:val="00AC55B9"/>
    <w:rsid w:val="00AC56BA"/>
    <w:rsid w:val="00AC57E5"/>
    <w:rsid w:val="00AC5BBD"/>
    <w:rsid w:val="00AC5FD6"/>
    <w:rsid w:val="00AC6056"/>
    <w:rsid w:val="00AC6394"/>
    <w:rsid w:val="00AC6642"/>
    <w:rsid w:val="00AC6667"/>
    <w:rsid w:val="00AC675E"/>
    <w:rsid w:val="00AC696A"/>
    <w:rsid w:val="00AC69A4"/>
    <w:rsid w:val="00AC6B05"/>
    <w:rsid w:val="00AC6F69"/>
    <w:rsid w:val="00AC70C4"/>
    <w:rsid w:val="00AC72F9"/>
    <w:rsid w:val="00AC7697"/>
    <w:rsid w:val="00AC7AE6"/>
    <w:rsid w:val="00AC7C34"/>
    <w:rsid w:val="00AC7C46"/>
    <w:rsid w:val="00AD02CF"/>
    <w:rsid w:val="00AD040E"/>
    <w:rsid w:val="00AD0664"/>
    <w:rsid w:val="00AD0994"/>
    <w:rsid w:val="00AD0B12"/>
    <w:rsid w:val="00AD0EE4"/>
    <w:rsid w:val="00AD0F0D"/>
    <w:rsid w:val="00AD113D"/>
    <w:rsid w:val="00AD1264"/>
    <w:rsid w:val="00AD1405"/>
    <w:rsid w:val="00AD15A2"/>
    <w:rsid w:val="00AD164C"/>
    <w:rsid w:val="00AD1672"/>
    <w:rsid w:val="00AD1A2C"/>
    <w:rsid w:val="00AD1A8F"/>
    <w:rsid w:val="00AD1AB8"/>
    <w:rsid w:val="00AD1BE5"/>
    <w:rsid w:val="00AD1E60"/>
    <w:rsid w:val="00AD1FC2"/>
    <w:rsid w:val="00AD2008"/>
    <w:rsid w:val="00AD20E2"/>
    <w:rsid w:val="00AD21AA"/>
    <w:rsid w:val="00AD23FC"/>
    <w:rsid w:val="00AD245D"/>
    <w:rsid w:val="00AD25DF"/>
    <w:rsid w:val="00AD286E"/>
    <w:rsid w:val="00AD2AC0"/>
    <w:rsid w:val="00AD2E60"/>
    <w:rsid w:val="00AD3870"/>
    <w:rsid w:val="00AD38B3"/>
    <w:rsid w:val="00AD38CA"/>
    <w:rsid w:val="00AD3987"/>
    <w:rsid w:val="00AD3AF2"/>
    <w:rsid w:val="00AD3BCD"/>
    <w:rsid w:val="00AD3C09"/>
    <w:rsid w:val="00AD3D25"/>
    <w:rsid w:val="00AD3D7B"/>
    <w:rsid w:val="00AD3E6E"/>
    <w:rsid w:val="00AD494E"/>
    <w:rsid w:val="00AD4FEC"/>
    <w:rsid w:val="00AD5225"/>
    <w:rsid w:val="00AD524E"/>
    <w:rsid w:val="00AD528A"/>
    <w:rsid w:val="00AD52D9"/>
    <w:rsid w:val="00AD53FD"/>
    <w:rsid w:val="00AD55D6"/>
    <w:rsid w:val="00AD5741"/>
    <w:rsid w:val="00AD57D8"/>
    <w:rsid w:val="00AD598F"/>
    <w:rsid w:val="00AD5EBF"/>
    <w:rsid w:val="00AD6500"/>
    <w:rsid w:val="00AD6646"/>
    <w:rsid w:val="00AD6BE3"/>
    <w:rsid w:val="00AD7032"/>
    <w:rsid w:val="00AD70AE"/>
    <w:rsid w:val="00AD7547"/>
    <w:rsid w:val="00AD7733"/>
    <w:rsid w:val="00AD7738"/>
    <w:rsid w:val="00AD790F"/>
    <w:rsid w:val="00AD7B62"/>
    <w:rsid w:val="00AD7BF9"/>
    <w:rsid w:val="00AD7D22"/>
    <w:rsid w:val="00AE035F"/>
    <w:rsid w:val="00AE0372"/>
    <w:rsid w:val="00AE03A5"/>
    <w:rsid w:val="00AE0B28"/>
    <w:rsid w:val="00AE0C50"/>
    <w:rsid w:val="00AE0CC4"/>
    <w:rsid w:val="00AE0F75"/>
    <w:rsid w:val="00AE107E"/>
    <w:rsid w:val="00AE110D"/>
    <w:rsid w:val="00AE1128"/>
    <w:rsid w:val="00AE12D1"/>
    <w:rsid w:val="00AE1531"/>
    <w:rsid w:val="00AE1B14"/>
    <w:rsid w:val="00AE1C07"/>
    <w:rsid w:val="00AE1EC3"/>
    <w:rsid w:val="00AE1FA6"/>
    <w:rsid w:val="00AE23E7"/>
    <w:rsid w:val="00AE296B"/>
    <w:rsid w:val="00AE2990"/>
    <w:rsid w:val="00AE29B1"/>
    <w:rsid w:val="00AE2F5D"/>
    <w:rsid w:val="00AE3016"/>
    <w:rsid w:val="00AE3231"/>
    <w:rsid w:val="00AE3650"/>
    <w:rsid w:val="00AE38A3"/>
    <w:rsid w:val="00AE3AFA"/>
    <w:rsid w:val="00AE41AA"/>
    <w:rsid w:val="00AE41FF"/>
    <w:rsid w:val="00AE46E8"/>
    <w:rsid w:val="00AE47EF"/>
    <w:rsid w:val="00AE494C"/>
    <w:rsid w:val="00AE498E"/>
    <w:rsid w:val="00AE4C2A"/>
    <w:rsid w:val="00AE4F82"/>
    <w:rsid w:val="00AE4FF3"/>
    <w:rsid w:val="00AE548C"/>
    <w:rsid w:val="00AE5A4D"/>
    <w:rsid w:val="00AE5BF0"/>
    <w:rsid w:val="00AE6251"/>
    <w:rsid w:val="00AE62FA"/>
    <w:rsid w:val="00AE636E"/>
    <w:rsid w:val="00AE6415"/>
    <w:rsid w:val="00AE6531"/>
    <w:rsid w:val="00AE6572"/>
    <w:rsid w:val="00AE6D3F"/>
    <w:rsid w:val="00AE6DB3"/>
    <w:rsid w:val="00AE70D9"/>
    <w:rsid w:val="00AE718C"/>
    <w:rsid w:val="00AE7228"/>
    <w:rsid w:val="00AE72DD"/>
    <w:rsid w:val="00AE7530"/>
    <w:rsid w:val="00AE7683"/>
    <w:rsid w:val="00AE793A"/>
    <w:rsid w:val="00AE7AF3"/>
    <w:rsid w:val="00AF01A6"/>
    <w:rsid w:val="00AF0202"/>
    <w:rsid w:val="00AF0215"/>
    <w:rsid w:val="00AF0310"/>
    <w:rsid w:val="00AF051E"/>
    <w:rsid w:val="00AF06F0"/>
    <w:rsid w:val="00AF0CEB"/>
    <w:rsid w:val="00AF0D7F"/>
    <w:rsid w:val="00AF1026"/>
    <w:rsid w:val="00AF11AF"/>
    <w:rsid w:val="00AF15C7"/>
    <w:rsid w:val="00AF3567"/>
    <w:rsid w:val="00AF3845"/>
    <w:rsid w:val="00AF3894"/>
    <w:rsid w:val="00AF3C71"/>
    <w:rsid w:val="00AF3DC1"/>
    <w:rsid w:val="00AF3F6A"/>
    <w:rsid w:val="00AF435C"/>
    <w:rsid w:val="00AF44F6"/>
    <w:rsid w:val="00AF458B"/>
    <w:rsid w:val="00AF4630"/>
    <w:rsid w:val="00AF47AA"/>
    <w:rsid w:val="00AF4C9E"/>
    <w:rsid w:val="00AF4D47"/>
    <w:rsid w:val="00AF4E28"/>
    <w:rsid w:val="00AF518C"/>
    <w:rsid w:val="00AF5867"/>
    <w:rsid w:val="00AF620F"/>
    <w:rsid w:val="00AF63A7"/>
    <w:rsid w:val="00AF68AA"/>
    <w:rsid w:val="00AF6C51"/>
    <w:rsid w:val="00AF7176"/>
    <w:rsid w:val="00AF71EC"/>
    <w:rsid w:val="00AF7574"/>
    <w:rsid w:val="00AF76DF"/>
    <w:rsid w:val="00AF7D00"/>
    <w:rsid w:val="00AF7D93"/>
    <w:rsid w:val="00AF7E3C"/>
    <w:rsid w:val="00B00170"/>
    <w:rsid w:val="00B0053C"/>
    <w:rsid w:val="00B00802"/>
    <w:rsid w:val="00B00873"/>
    <w:rsid w:val="00B008BE"/>
    <w:rsid w:val="00B00F8A"/>
    <w:rsid w:val="00B010AB"/>
    <w:rsid w:val="00B01199"/>
    <w:rsid w:val="00B01275"/>
    <w:rsid w:val="00B013E8"/>
    <w:rsid w:val="00B01865"/>
    <w:rsid w:val="00B01B73"/>
    <w:rsid w:val="00B01B7D"/>
    <w:rsid w:val="00B02322"/>
    <w:rsid w:val="00B0235F"/>
    <w:rsid w:val="00B02583"/>
    <w:rsid w:val="00B02B03"/>
    <w:rsid w:val="00B02C04"/>
    <w:rsid w:val="00B02F13"/>
    <w:rsid w:val="00B03290"/>
    <w:rsid w:val="00B03346"/>
    <w:rsid w:val="00B0359D"/>
    <w:rsid w:val="00B03729"/>
    <w:rsid w:val="00B03F5B"/>
    <w:rsid w:val="00B03FEB"/>
    <w:rsid w:val="00B043C8"/>
    <w:rsid w:val="00B0483C"/>
    <w:rsid w:val="00B04BE8"/>
    <w:rsid w:val="00B04C30"/>
    <w:rsid w:val="00B04DF5"/>
    <w:rsid w:val="00B0500D"/>
    <w:rsid w:val="00B051E6"/>
    <w:rsid w:val="00B0531D"/>
    <w:rsid w:val="00B05609"/>
    <w:rsid w:val="00B0562F"/>
    <w:rsid w:val="00B05A1C"/>
    <w:rsid w:val="00B05A9F"/>
    <w:rsid w:val="00B05AFA"/>
    <w:rsid w:val="00B05B9F"/>
    <w:rsid w:val="00B05F35"/>
    <w:rsid w:val="00B05FB3"/>
    <w:rsid w:val="00B0615E"/>
    <w:rsid w:val="00B06732"/>
    <w:rsid w:val="00B06782"/>
    <w:rsid w:val="00B06967"/>
    <w:rsid w:val="00B06A82"/>
    <w:rsid w:val="00B06D80"/>
    <w:rsid w:val="00B06F43"/>
    <w:rsid w:val="00B06F4B"/>
    <w:rsid w:val="00B072F8"/>
    <w:rsid w:val="00B075AC"/>
    <w:rsid w:val="00B0764C"/>
    <w:rsid w:val="00B0768B"/>
    <w:rsid w:val="00B07705"/>
    <w:rsid w:val="00B0778E"/>
    <w:rsid w:val="00B07CD7"/>
    <w:rsid w:val="00B10345"/>
    <w:rsid w:val="00B10465"/>
    <w:rsid w:val="00B109B9"/>
    <w:rsid w:val="00B10AA8"/>
    <w:rsid w:val="00B10C2B"/>
    <w:rsid w:val="00B111C9"/>
    <w:rsid w:val="00B11390"/>
    <w:rsid w:val="00B116A7"/>
    <w:rsid w:val="00B11823"/>
    <w:rsid w:val="00B11874"/>
    <w:rsid w:val="00B11AB8"/>
    <w:rsid w:val="00B11CEE"/>
    <w:rsid w:val="00B11E90"/>
    <w:rsid w:val="00B11EFE"/>
    <w:rsid w:val="00B11FE5"/>
    <w:rsid w:val="00B12182"/>
    <w:rsid w:val="00B12359"/>
    <w:rsid w:val="00B123B7"/>
    <w:rsid w:val="00B123F4"/>
    <w:rsid w:val="00B12561"/>
    <w:rsid w:val="00B125E3"/>
    <w:rsid w:val="00B12A62"/>
    <w:rsid w:val="00B12B3A"/>
    <w:rsid w:val="00B12BB9"/>
    <w:rsid w:val="00B12FC6"/>
    <w:rsid w:val="00B13286"/>
    <w:rsid w:val="00B1360E"/>
    <w:rsid w:val="00B13730"/>
    <w:rsid w:val="00B139AD"/>
    <w:rsid w:val="00B13C64"/>
    <w:rsid w:val="00B13C91"/>
    <w:rsid w:val="00B13CF6"/>
    <w:rsid w:val="00B13E06"/>
    <w:rsid w:val="00B14389"/>
    <w:rsid w:val="00B14518"/>
    <w:rsid w:val="00B1481B"/>
    <w:rsid w:val="00B14D83"/>
    <w:rsid w:val="00B14E74"/>
    <w:rsid w:val="00B1526A"/>
    <w:rsid w:val="00B15BA3"/>
    <w:rsid w:val="00B15D2B"/>
    <w:rsid w:val="00B16031"/>
    <w:rsid w:val="00B160A2"/>
    <w:rsid w:val="00B166BB"/>
    <w:rsid w:val="00B16748"/>
    <w:rsid w:val="00B16802"/>
    <w:rsid w:val="00B16810"/>
    <w:rsid w:val="00B16D95"/>
    <w:rsid w:val="00B16DE1"/>
    <w:rsid w:val="00B16E18"/>
    <w:rsid w:val="00B16EF6"/>
    <w:rsid w:val="00B171A4"/>
    <w:rsid w:val="00B1736B"/>
    <w:rsid w:val="00B174AE"/>
    <w:rsid w:val="00B17743"/>
    <w:rsid w:val="00B1779B"/>
    <w:rsid w:val="00B179C0"/>
    <w:rsid w:val="00B203DE"/>
    <w:rsid w:val="00B20EAB"/>
    <w:rsid w:val="00B21642"/>
    <w:rsid w:val="00B2167C"/>
    <w:rsid w:val="00B21B3C"/>
    <w:rsid w:val="00B21B58"/>
    <w:rsid w:val="00B22103"/>
    <w:rsid w:val="00B2277C"/>
    <w:rsid w:val="00B227D9"/>
    <w:rsid w:val="00B227FB"/>
    <w:rsid w:val="00B228E5"/>
    <w:rsid w:val="00B22A6D"/>
    <w:rsid w:val="00B22B26"/>
    <w:rsid w:val="00B22D4F"/>
    <w:rsid w:val="00B22E8C"/>
    <w:rsid w:val="00B23373"/>
    <w:rsid w:val="00B23FA1"/>
    <w:rsid w:val="00B24C8F"/>
    <w:rsid w:val="00B24D5C"/>
    <w:rsid w:val="00B24F99"/>
    <w:rsid w:val="00B2539E"/>
    <w:rsid w:val="00B25620"/>
    <w:rsid w:val="00B25774"/>
    <w:rsid w:val="00B2585F"/>
    <w:rsid w:val="00B25A8E"/>
    <w:rsid w:val="00B25DA6"/>
    <w:rsid w:val="00B260F8"/>
    <w:rsid w:val="00B2611C"/>
    <w:rsid w:val="00B2665E"/>
    <w:rsid w:val="00B26742"/>
    <w:rsid w:val="00B26A92"/>
    <w:rsid w:val="00B26B46"/>
    <w:rsid w:val="00B26DF6"/>
    <w:rsid w:val="00B2734A"/>
    <w:rsid w:val="00B27A48"/>
    <w:rsid w:val="00B27B74"/>
    <w:rsid w:val="00B27C11"/>
    <w:rsid w:val="00B27C97"/>
    <w:rsid w:val="00B3019A"/>
    <w:rsid w:val="00B302C2"/>
    <w:rsid w:val="00B30705"/>
    <w:rsid w:val="00B30766"/>
    <w:rsid w:val="00B308F8"/>
    <w:rsid w:val="00B309D0"/>
    <w:rsid w:val="00B30C70"/>
    <w:rsid w:val="00B30DDC"/>
    <w:rsid w:val="00B31616"/>
    <w:rsid w:val="00B32031"/>
    <w:rsid w:val="00B3212B"/>
    <w:rsid w:val="00B321CE"/>
    <w:rsid w:val="00B3236D"/>
    <w:rsid w:val="00B329BE"/>
    <w:rsid w:val="00B32A95"/>
    <w:rsid w:val="00B32C88"/>
    <w:rsid w:val="00B3317C"/>
    <w:rsid w:val="00B3319E"/>
    <w:rsid w:val="00B33250"/>
    <w:rsid w:val="00B33316"/>
    <w:rsid w:val="00B33566"/>
    <w:rsid w:val="00B33678"/>
    <w:rsid w:val="00B33C21"/>
    <w:rsid w:val="00B33F4E"/>
    <w:rsid w:val="00B35107"/>
    <w:rsid w:val="00B35123"/>
    <w:rsid w:val="00B352B5"/>
    <w:rsid w:val="00B354AB"/>
    <w:rsid w:val="00B35635"/>
    <w:rsid w:val="00B35655"/>
    <w:rsid w:val="00B35732"/>
    <w:rsid w:val="00B35AE6"/>
    <w:rsid w:val="00B35B56"/>
    <w:rsid w:val="00B36126"/>
    <w:rsid w:val="00B36267"/>
    <w:rsid w:val="00B3677D"/>
    <w:rsid w:val="00B367C2"/>
    <w:rsid w:val="00B3688A"/>
    <w:rsid w:val="00B36A0A"/>
    <w:rsid w:val="00B3722D"/>
    <w:rsid w:val="00B372A3"/>
    <w:rsid w:val="00B3742D"/>
    <w:rsid w:val="00B376F5"/>
    <w:rsid w:val="00B37807"/>
    <w:rsid w:val="00B37C53"/>
    <w:rsid w:val="00B37EC6"/>
    <w:rsid w:val="00B37F20"/>
    <w:rsid w:val="00B4022F"/>
    <w:rsid w:val="00B40369"/>
    <w:rsid w:val="00B40452"/>
    <w:rsid w:val="00B40677"/>
    <w:rsid w:val="00B40996"/>
    <w:rsid w:val="00B40AA5"/>
    <w:rsid w:val="00B41254"/>
    <w:rsid w:val="00B412F9"/>
    <w:rsid w:val="00B41394"/>
    <w:rsid w:val="00B414AD"/>
    <w:rsid w:val="00B41820"/>
    <w:rsid w:val="00B41CD2"/>
    <w:rsid w:val="00B41D7A"/>
    <w:rsid w:val="00B41DB2"/>
    <w:rsid w:val="00B421D6"/>
    <w:rsid w:val="00B4227C"/>
    <w:rsid w:val="00B423D1"/>
    <w:rsid w:val="00B42640"/>
    <w:rsid w:val="00B42CBF"/>
    <w:rsid w:val="00B42E45"/>
    <w:rsid w:val="00B4306D"/>
    <w:rsid w:val="00B437EB"/>
    <w:rsid w:val="00B43DE1"/>
    <w:rsid w:val="00B43F3D"/>
    <w:rsid w:val="00B442BA"/>
    <w:rsid w:val="00B44340"/>
    <w:rsid w:val="00B44422"/>
    <w:rsid w:val="00B44B79"/>
    <w:rsid w:val="00B44D70"/>
    <w:rsid w:val="00B44F18"/>
    <w:rsid w:val="00B4510B"/>
    <w:rsid w:val="00B45783"/>
    <w:rsid w:val="00B457FD"/>
    <w:rsid w:val="00B45FE0"/>
    <w:rsid w:val="00B46004"/>
    <w:rsid w:val="00B46241"/>
    <w:rsid w:val="00B4627F"/>
    <w:rsid w:val="00B46658"/>
    <w:rsid w:val="00B4671F"/>
    <w:rsid w:val="00B46738"/>
    <w:rsid w:val="00B46759"/>
    <w:rsid w:val="00B474D7"/>
    <w:rsid w:val="00B47537"/>
    <w:rsid w:val="00B47C4C"/>
    <w:rsid w:val="00B47E61"/>
    <w:rsid w:val="00B47F59"/>
    <w:rsid w:val="00B50146"/>
    <w:rsid w:val="00B50553"/>
    <w:rsid w:val="00B5067F"/>
    <w:rsid w:val="00B509A2"/>
    <w:rsid w:val="00B50BDA"/>
    <w:rsid w:val="00B50D89"/>
    <w:rsid w:val="00B510E6"/>
    <w:rsid w:val="00B5145E"/>
    <w:rsid w:val="00B5150D"/>
    <w:rsid w:val="00B5159B"/>
    <w:rsid w:val="00B516A9"/>
    <w:rsid w:val="00B516DE"/>
    <w:rsid w:val="00B51A07"/>
    <w:rsid w:val="00B51BB9"/>
    <w:rsid w:val="00B52246"/>
    <w:rsid w:val="00B5257D"/>
    <w:rsid w:val="00B52628"/>
    <w:rsid w:val="00B52656"/>
    <w:rsid w:val="00B527EF"/>
    <w:rsid w:val="00B52CBC"/>
    <w:rsid w:val="00B52CFB"/>
    <w:rsid w:val="00B52D7E"/>
    <w:rsid w:val="00B52FFB"/>
    <w:rsid w:val="00B532A3"/>
    <w:rsid w:val="00B53382"/>
    <w:rsid w:val="00B53676"/>
    <w:rsid w:val="00B539C3"/>
    <w:rsid w:val="00B53ED5"/>
    <w:rsid w:val="00B54002"/>
    <w:rsid w:val="00B54010"/>
    <w:rsid w:val="00B540D6"/>
    <w:rsid w:val="00B542CD"/>
    <w:rsid w:val="00B54931"/>
    <w:rsid w:val="00B54CF6"/>
    <w:rsid w:val="00B54E4A"/>
    <w:rsid w:val="00B550E6"/>
    <w:rsid w:val="00B550F0"/>
    <w:rsid w:val="00B55692"/>
    <w:rsid w:val="00B55A84"/>
    <w:rsid w:val="00B55DB0"/>
    <w:rsid w:val="00B55DBA"/>
    <w:rsid w:val="00B56080"/>
    <w:rsid w:val="00B560B9"/>
    <w:rsid w:val="00B56167"/>
    <w:rsid w:val="00B56861"/>
    <w:rsid w:val="00B56943"/>
    <w:rsid w:val="00B56A8A"/>
    <w:rsid w:val="00B56ADA"/>
    <w:rsid w:val="00B56E32"/>
    <w:rsid w:val="00B56F42"/>
    <w:rsid w:val="00B57282"/>
    <w:rsid w:val="00B5761C"/>
    <w:rsid w:val="00B57827"/>
    <w:rsid w:val="00B57829"/>
    <w:rsid w:val="00B57911"/>
    <w:rsid w:val="00B57A4A"/>
    <w:rsid w:val="00B57C54"/>
    <w:rsid w:val="00B60B85"/>
    <w:rsid w:val="00B61048"/>
    <w:rsid w:val="00B61338"/>
    <w:rsid w:val="00B61719"/>
    <w:rsid w:val="00B61806"/>
    <w:rsid w:val="00B6187F"/>
    <w:rsid w:val="00B618B1"/>
    <w:rsid w:val="00B6190D"/>
    <w:rsid w:val="00B61938"/>
    <w:rsid w:val="00B619B2"/>
    <w:rsid w:val="00B61ED3"/>
    <w:rsid w:val="00B61F92"/>
    <w:rsid w:val="00B620E8"/>
    <w:rsid w:val="00B6217C"/>
    <w:rsid w:val="00B624C7"/>
    <w:rsid w:val="00B6252B"/>
    <w:rsid w:val="00B62543"/>
    <w:rsid w:val="00B6263E"/>
    <w:rsid w:val="00B627DF"/>
    <w:rsid w:val="00B62813"/>
    <w:rsid w:val="00B628BB"/>
    <w:rsid w:val="00B62A0E"/>
    <w:rsid w:val="00B63006"/>
    <w:rsid w:val="00B63030"/>
    <w:rsid w:val="00B6335F"/>
    <w:rsid w:val="00B633CA"/>
    <w:rsid w:val="00B63460"/>
    <w:rsid w:val="00B635D3"/>
    <w:rsid w:val="00B63876"/>
    <w:rsid w:val="00B63BD1"/>
    <w:rsid w:val="00B63C41"/>
    <w:rsid w:val="00B63E76"/>
    <w:rsid w:val="00B642C2"/>
    <w:rsid w:val="00B64327"/>
    <w:rsid w:val="00B64B06"/>
    <w:rsid w:val="00B64C0D"/>
    <w:rsid w:val="00B65172"/>
    <w:rsid w:val="00B65405"/>
    <w:rsid w:val="00B65505"/>
    <w:rsid w:val="00B65A7D"/>
    <w:rsid w:val="00B65AF6"/>
    <w:rsid w:val="00B65CCC"/>
    <w:rsid w:val="00B662D7"/>
    <w:rsid w:val="00B66303"/>
    <w:rsid w:val="00B665CA"/>
    <w:rsid w:val="00B66B5B"/>
    <w:rsid w:val="00B66CEC"/>
    <w:rsid w:val="00B66D90"/>
    <w:rsid w:val="00B67007"/>
    <w:rsid w:val="00B6742E"/>
    <w:rsid w:val="00B6784C"/>
    <w:rsid w:val="00B67907"/>
    <w:rsid w:val="00B6798B"/>
    <w:rsid w:val="00B67A7D"/>
    <w:rsid w:val="00B67AB7"/>
    <w:rsid w:val="00B67C11"/>
    <w:rsid w:val="00B67D0A"/>
    <w:rsid w:val="00B7015B"/>
    <w:rsid w:val="00B7044E"/>
    <w:rsid w:val="00B70612"/>
    <w:rsid w:val="00B706B7"/>
    <w:rsid w:val="00B70866"/>
    <w:rsid w:val="00B70908"/>
    <w:rsid w:val="00B7093E"/>
    <w:rsid w:val="00B70A17"/>
    <w:rsid w:val="00B70D8E"/>
    <w:rsid w:val="00B70DCA"/>
    <w:rsid w:val="00B70DF5"/>
    <w:rsid w:val="00B71343"/>
    <w:rsid w:val="00B71509"/>
    <w:rsid w:val="00B71CF5"/>
    <w:rsid w:val="00B71F2D"/>
    <w:rsid w:val="00B72095"/>
    <w:rsid w:val="00B72234"/>
    <w:rsid w:val="00B7245E"/>
    <w:rsid w:val="00B72C4B"/>
    <w:rsid w:val="00B72E91"/>
    <w:rsid w:val="00B72F80"/>
    <w:rsid w:val="00B72FEF"/>
    <w:rsid w:val="00B731D8"/>
    <w:rsid w:val="00B7321A"/>
    <w:rsid w:val="00B73659"/>
    <w:rsid w:val="00B73A86"/>
    <w:rsid w:val="00B73B0F"/>
    <w:rsid w:val="00B73EDF"/>
    <w:rsid w:val="00B73F36"/>
    <w:rsid w:val="00B73F6E"/>
    <w:rsid w:val="00B746AF"/>
    <w:rsid w:val="00B746FF"/>
    <w:rsid w:val="00B74745"/>
    <w:rsid w:val="00B74B03"/>
    <w:rsid w:val="00B74B52"/>
    <w:rsid w:val="00B74B92"/>
    <w:rsid w:val="00B74C1B"/>
    <w:rsid w:val="00B74CA2"/>
    <w:rsid w:val="00B74D9F"/>
    <w:rsid w:val="00B74F62"/>
    <w:rsid w:val="00B750AD"/>
    <w:rsid w:val="00B750B8"/>
    <w:rsid w:val="00B7520D"/>
    <w:rsid w:val="00B754F7"/>
    <w:rsid w:val="00B75663"/>
    <w:rsid w:val="00B7581C"/>
    <w:rsid w:val="00B75ABE"/>
    <w:rsid w:val="00B763AB"/>
    <w:rsid w:val="00B76412"/>
    <w:rsid w:val="00B76498"/>
    <w:rsid w:val="00B76587"/>
    <w:rsid w:val="00B76750"/>
    <w:rsid w:val="00B76C95"/>
    <w:rsid w:val="00B76CE4"/>
    <w:rsid w:val="00B76CE9"/>
    <w:rsid w:val="00B771B5"/>
    <w:rsid w:val="00B7729E"/>
    <w:rsid w:val="00B7734E"/>
    <w:rsid w:val="00B775A2"/>
    <w:rsid w:val="00B776D8"/>
    <w:rsid w:val="00B77ABC"/>
    <w:rsid w:val="00B77EBB"/>
    <w:rsid w:val="00B77F8F"/>
    <w:rsid w:val="00B80BBA"/>
    <w:rsid w:val="00B80DCC"/>
    <w:rsid w:val="00B8103C"/>
    <w:rsid w:val="00B81643"/>
    <w:rsid w:val="00B8190A"/>
    <w:rsid w:val="00B81B5C"/>
    <w:rsid w:val="00B81D36"/>
    <w:rsid w:val="00B820A6"/>
    <w:rsid w:val="00B8228C"/>
    <w:rsid w:val="00B825C1"/>
    <w:rsid w:val="00B825FC"/>
    <w:rsid w:val="00B82C85"/>
    <w:rsid w:val="00B82DC5"/>
    <w:rsid w:val="00B82F23"/>
    <w:rsid w:val="00B83016"/>
    <w:rsid w:val="00B8311A"/>
    <w:rsid w:val="00B83169"/>
    <w:rsid w:val="00B83480"/>
    <w:rsid w:val="00B834BE"/>
    <w:rsid w:val="00B835DC"/>
    <w:rsid w:val="00B837D7"/>
    <w:rsid w:val="00B8381D"/>
    <w:rsid w:val="00B84287"/>
    <w:rsid w:val="00B8432F"/>
    <w:rsid w:val="00B8451A"/>
    <w:rsid w:val="00B847F6"/>
    <w:rsid w:val="00B84957"/>
    <w:rsid w:val="00B84A6A"/>
    <w:rsid w:val="00B853B2"/>
    <w:rsid w:val="00B854B0"/>
    <w:rsid w:val="00B85630"/>
    <w:rsid w:val="00B85796"/>
    <w:rsid w:val="00B858D4"/>
    <w:rsid w:val="00B85DAE"/>
    <w:rsid w:val="00B860B9"/>
    <w:rsid w:val="00B864C0"/>
    <w:rsid w:val="00B8683E"/>
    <w:rsid w:val="00B86948"/>
    <w:rsid w:val="00B8697C"/>
    <w:rsid w:val="00B86BFD"/>
    <w:rsid w:val="00B86C13"/>
    <w:rsid w:val="00B86EC2"/>
    <w:rsid w:val="00B86FDF"/>
    <w:rsid w:val="00B8775D"/>
    <w:rsid w:val="00B8780B"/>
    <w:rsid w:val="00B878EE"/>
    <w:rsid w:val="00B87DB6"/>
    <w:rsid w:val="00B90262"/>
    <w:rsid w:val="00B90675"/>
    <w:rsid w:val="00B90944"/>
    <w:rsid w:val="00B90DE3"/>
    <w:rsid w:val="00B90E08"/>
    <w:rsid w:val="00B90E2D"/>
    <w:rsid w:val="00B90EBE"/>
    <w:rsid w:val="00B90FF7"/>
    <w:rsid w:val="00B91025"/>
    <w:rsid w:val="00B91090"/>
    <w:rsid w:val="00B91123"/>
    <w:rsid w:val="00B917BC"/>
    <w:rsid w:val="00B91C77"/>
    <w:rsid w:val="00B91CCF"/>
    <w:rsid w:val="00B92188"/>
    <w:rsid w:val="00B9231C"/>
    <w:rsid w:val="00B92433"/>
    <w:rsid w:val="00B92461"/>
    <w:rsid w:val="00B92514"/>
    <w:rsid w:val="00B92531"/>
    <w:rsid w:val="00B92A4E"/>
    <w:rsid w:val="00B92BC3"/>
    <w:rsid w:val="00B92C51"/>
    <w:rsid w:val="00B92CBE"/>
    <w:rsid w:val="00B92F7A"/>
    <w:rsid w:val="00B932BC"/>
    <w:rsid w:val="00B93801"/>
    <w:rsid w:val="00B938D2"/>
    <w:rsid w:val="00B93B89"/>
    <w:rsid w:val="00B93D1C"/>
    <w:rsid w:val="00B93F16"/>
    <w:rsid w:val="00B9408F"/>
    <w:rsid w:val="00B940F4"/>
    <w:rsid w:val="00B94107"/>
    <w:rsid w:val="00B943B3"/>
    <w:rsid w:val="00B94C45"/>
    <w:rsid w:val="00B94C48"/>
    <w:rsid w:val="00B94CB2"/>
    <w:rsid w:val="00B94ECF"/>
    <w:rsid w:val="00B94EFB"/>
    <w:rsid w:val="00B95451"/>
    <w:rsid w:val="00B955BF"/>
    <w:rsid w:val="00B95680"/>
    <w:rsid w:val="00B957B4"/>
    <w:rsid w:val="00B959D1"/>
    <w:rsid w:val="00B961EC"/>
    <w:rsid w:val="00B962E2"/>
    <w:rsid w:val="00B96EE6"/>
    <w:rsid w:val="00B97452"/>
    <w:rsid w:val="00B9791D"/>
    <w:rsid w:val="00B97AE5"/>
    <w:rsid w:val="00B97B91"/>
    <w:rsid w:val="00BA0312"/>
    <w:rsid w:val="00BA081D"/>
    <w:rsid w:val="00BA0897"/>
    <w:rsid w:val="00BA0C6F"/>
    <w:rsid w:val="00BA0E93"/>
    <w:rsid w:val="00BA1210"/>
    <w:rsid w:val="00BA13F9"/>
    <w:rsid w:val="00BA1544"/>
    <w:rsid w:val="00BA15BE"/>
    <w:rsid w:val="00BA15C8"/>
    <w:rsid w:val="00BA16CA"/>
    <w:rsid w:val="00BA1734"/>
    <w:rsid w:val="00BA175C"/>
    <w:rsid w:val="00BA1865"/>
    <w:rsid w:val="00BA189C"/>
    <w:rsid w:val="00BA1B97"/>
    <w:rsid w:val="00BA2135"/>
    <w:rsid w:val="00BA230C"/>
    <w:rsid w:val="00BA2457"/>
    <w:rsid w:val="00BA24B9"/>
    <w:rsid w:val="00BA28DF"/>
    <w:rsid w:val="00BA2A2F"/>
    <w:rsid w:val="00BA2C90"/>
    <w:rsid w:val="00BA2D1C"/>
    <w:rsid w:val="00BA31E6"/>
    <w:rsid w:val="00BA3268"/>
    <w:rsid w:val="00BA3299"/>
    <w:rsid w:val="00BA37E7"/>
    <w:rsid w:val="00BA388B"/>
    <w:rsid w:val="00BA3AB1"/>
    <w:rsid w:val="00BA3D96"/>
    <w:rsid w:val="00BA3DBE"/>
    <w:rsid w:val="00BA4126"/>
    <w:rsid w:val="00BA429D"/>
    <w:rsid w:val="00BA4510"/>
    <w:rsid w:val="00BA46C8"/>
    <w:rsid w:val="00BA4A85"/>
    <w:rsid w:val="00BA4AD8"/>
    <w:rsid w:val="00BA4CEC"/>
    <w:rsid w:val="00BA55A2"/>
    <w:rsid w:val="00BA609D"/>
    <w:rsid w:val="00BA621A"/>
    <w:rsid w:val="00BA63E1"/>
    <w:rsid w:val="00BA668F"/>
    <w:rsid w:val="00BA673E"/>
    <w:rsid w:val="00BA69E3"/>
    <w:rsid w:val="00BA6DC3"/>
    <w:rsid w:val="00BA74FB"/>
    <w:rsid w:val="00BA7593"/>
    <w:rsid w:val="00BA7699"/>
    <w:rsid w:val="00BA7858"/>
    <w:rsid w:val="00BA7A3A"/>
    <w:rsid w:val="00BA7D0F"/>
    <w:rsid w:val="00BA7D82"/>
    <w:rsid w:val="00BA7E07"/>
    <w:rsid w:val="00BB00E6"/>
    <w:rsid w:val="00BB027A"/>
    <w:rsid w:val="00BB0296"/>
    <w:rsid w:val="00BB0670"/>
    <w:rsid w:val="00BB0841"/>
    <w:rsid w:val="00BB0845"/>
    <w:rsid w:val="00BB087B"/>
    <w:rsid w:val="00BB099B"/>
    <w:rsid w:val="00BB0B0E"/>
    <w:rsid w:val="00BB0B5A"/>
    <w:rsid w:val="00BB0B7B"/>
    <w:rsid w:val="00BB0B7C"/>
    <w:rsid w:val="00BB0D56"/>
    <w:rsid w:val="00BB0E0F"/>
    <w:rsid w:val="00BB0FAA"/>
    <w:rsid w:val="00BB1299"/>
    <w:rsid w:val="00BB16B0"/>
    <w:rsid w:val="00BB1856"/>
    <w:rsid w:val="00BB1A82"/>
    <w:rsid w:val="00BB21EE"/>
    <w:rsid w:val="00BB237F"/>
    <w:rsid w:val="00BB2551"/>
    <w:rsid w:val="00BB2895"/>
    <w:rsid w:val="00BB29B4"/>
    <w:rsid w:val="00BB2A57"/>
    <w:rsid w:val="00BB2B12"/>
    <w:rsid w:val="00BB2B38"/>
    <w:rsid w:val="00BB2B71"/>
    <w:rsid w:val="00BB2CAD"/>
    <w:rsid w:val="00BB2F4F"/>
    <w:rsid w:val="00BB397D"/>
    <w:rsid w:val="00BB39E6"/>
    <w:rsid w:val="00BB3C22"/>
    <w:rsid w:val="00BB3F33"/>
    <w:rsid w:val="00BB3F8C"/>
    <w:rsid w:val="00BB441D"/>
    <w:rsid w:val="00BB44F4"/>
    <w:rsid w:val="00BB4932"/>
    <w:rsid w:val="00BB4A6D"/>
    <w:rsid w:val="00BB4B06"/>
    <w:rsid w:val="00BB4B7B"/>
    <w:rsid w:val="00BB4C8D"/>
    <w:rsid w:val="00BB4D27"/>
    <w:rsid w:val="00BB4E52"/>
    <w:rsid w:val="00BB5190"/>
    <w:rsid w:val="00BB5312"/>
    <w:rsid w:val="00BB537C"/>
    <w:rsid w:val="00BB54CC"/>
    <w:rsid w:val="00BB55A8"/>
    <w:rsid w:val="00BB5906"/>
    <w:rsid w:val="00BB5A52"/>
    <w:rsid w:val="00BB5BC2"/>
    <w:rsid w:val="00BB5C19"/>
    <w:rsid w:val="00BB5FFB"/>
    <w:rsid w:val="00BB60FB"/>
    <w:rsid w:val="00BB617D"/>
    <w:rsid w:val="00BB645E"/>
    <w:rsid w:val="00BB66CD"/>
    <w:rsid w:val="00BB66D9"/>
    <w:rsid w:val="00BB6AA2"/>
    <w:rsid w:val="00BB6B97"/>
    <w:rsid w:val="00BB6CFE"/>
    <w:rsid w:val="00BB70D4"/>
    <w:rsid w:val="00BB7295"/>
    <w:rsid w:val="00BB73D7"/>
    <w:rsid w:val="00BB76EA"/>
    <w:rsid w:val="00BB77B8"/>
    <w:rsid w:val="00BB78BF"/>
    <w:rsid w:val="00BB791D"/>
    <w:rsid w:val="00BB7A4D"/>
    <w:rsid w:val="00BB7AAD"/>
    <w:rsid w:val="00BC02ED"/>
    <w:rsid w:val="00BC05D3"/>
    <w:rsid w:val="00BC077D"/>
    <w:rsid w:val="00BC07AD"/>
    <w:rsid w:val="00BC07E1"/>
    <w:rsid w:val="00BC09AA"/>
    <w:rsid w:val="00BC0B50"/>
    <w:rsid w:val="00BC10A6"/>
    <w:rsid w:val="00BC10B2"/>
    <w:rsid w:val="00BC12AE"/>
    <w:rsid w:val="00BC12D9"/>
    <w:rsid w:val="00BC13EE"/>
    <w:rsid w:val="00BC1914"/>
    <w:rsid w:val="00BC2353"/>
    <w:rsid w:val="00BC25FA"/>
    <w:rsid w:val="00BC2907"/>
    <w:rsid w:val="00BC3420"/>
    <w:rsid w:val="00BC34FF"/>
    <w:rsid w:val="00BC362A"/>
    <w:rsid w:val="00BC3878"/>
    <w:rsid w:val="00BC3CEC"/>
    <w:rsid w:val="00BC3EB6"/>
    <w:rsid w:val="00BC42CD"/>
    <w:rsid w:val="00BC4321"/>
    <w:rsid w:val="00BC4391"/>
    <w:rsid w:val="00BC43F8"/>
    <w:rsid w:val="00BC4640"/>
    <w:rsid w:val="00BC47ED"/>
    <w:rsid w:val="00BC4E36"/>
    <w:rsid w:val="00BC4EE7"/>
    <w:rsid w:val="00BC5333"/>
    <w:rsid w:val="00BC5426"/>
    <w:rsid w:val="00BC5435"/>
    <w:rsid w:val="00BC54DF"/>
    <w:rsid w:val="00BC57E5"/>
    <w:rsid w:val="00BC58A2"/>
    <w:rsid w:val="00BC5AE8"/>
    <w:rsid w:val="00BC5E5D"/>
    <w:rsid w:val="00BC5ECF"/>
    <w:rsid w:val="00BC60BC"/>
    <w:rsid w:val="00BC61A8"/>
    <w:rsid w:val="00BC62EC"/>
    <w:rsid w:val="00BC673C"/>
    <w:rsid w:val="00BC6A97"/>
    <w:rsid w:val="00BC6BF4"/>
    <w:rsid w:val="00BC6C59"/>
    <w:rsid w:val="00BC6FC0"/>
    <w:rsid w:val="00BC6FD4"/>
    <w:rsid w:val="00BC713E"/>
    <w:rsid w:val="00BC7165"/>
    <w:rsid w:val="00BC748F"/>
    <w:rsid w:val="00BC7B22"/>
    <w:rsid w:val="00BC7C0E"/>
    <w:rsid w:val="00BD012E"/>
    <w:rsid w:val="00BD02EA"/>
    <w:rsid w:val="00BD083F"/>
    <w:rsid w:val="00BD0DD7"/>
    <w:rsid w:val="00BD1227"/>
    <w:rsid w:val="00BD1772"/>
    <w:rsid w:val="00BD19FA"/>
    <w:rsid w:val="00BD255D"/>
    <w:rsid w:val="00BD2E6A"/>
    <w:rsid w:val="00BD30B9"/>
    <w:rsid w:val="00BD32B3"/>
    <w:rsid w:val="00BD3445"/>
    <w:rsid w:val="00BD3448"/>
    <w:rsid w:val="00BD360C"/>
    <w:rsid w:val="00BD3930"/>
    <w:rsid w:val="00BD40D2"/>
    <w:rsid w:val="00BD43F0"/>
    <w:rsid w:val="00BD49C7"/>
    <w:rsid w:val="00BD50C9"/>
    <w:rsid w:val="00BD514A"/>
    <w:rsid w:val="00BD5350"/>
    <w:rsid w:val="00BD5369"/>
    <w:rsid w:val="00BD5377"/>
    <w:rsid w:val="00BD58ED"/>
    <w:rsid w:val="00BD5B0F"/>
    <w:rsid w:val="00BD5E44"/>
    <w:rsid w:val="00BD6078"/>
    <w:rsid w:val="00BD639E"/>
    <w:rsid w:val="00BD6585"/>
    <w:rsid w:val="00BD69EF"/>
    <w:rsid w:val="00BD70DA"/>
    <w:rsid w:val="00BD70E3"/>
    <w:rsid w:val="00BD73CF"/>
    <w:rsid w:val="00BD74C5"/>
    <w:rsid w:val="00BD754C"/>
    <w:rsid w:val="00BD77F6"/>
    <w:rsid w:val="00BD7C77"/>
    <w:rsid w:val="00BD7DFF"/>
    <w:rsid w:val="00BD7EDF"/>
    <w:rsid w:val="00BE0229"/>
    <w:rsid w:val="00BE0455"/>
    <w:rsid w:val="00BE047A"/>
    <w:rsid w:val="00BE0490"/>
    <w:rsid w:val="00BE04F4"/>
    <w:rsid w:val="00BE05EA"/>
    <w:rsid w:val="00BE0794"/>
    <w:rsid w:val="00BE0A68"/>
    <w:rsid w:val="00BE0B65"/>
    <w:rsid w:val="00BE0C12"/>
    <w:rsid w:val="00BE0CD9"/>
    <w:rsid w:val="00BE0E5A"/>
    <w:rsid w:val="00BE134B"/>
    <w:rsid w:val="00BE1451"/>
    <w:rsid w:val="00BE1642"/>
    <w:rsid w:val="00BE17CD"/>
    <w:rsid w:val="00BE1C8E"/>
    <w:rsid w:val="00BE27F5"/>
    <w:rsid w:val="00BE2817"/>
    <w:rsid w:val="00BE2B7A"/>
    <w:rsid w:val="00BE2C78"/>
    <w:rsid w:val="00BE2E5E"/>
    <w:rsid w:val="00BE2E8B"/>
    <w:rsid w:val="00BE342B"/>
    <w:rsid w:val="00BE3862"/>
    <w:rsid w:val="00BE39A1"/>
    <w:rsid w:val="00BE39E0"/>
    <w:rsid w:val="00BE3B08"/>
    <w:rsid w:val="00BE3E61"/>
    <w:rsid w:val="00BE41C4"/>
    <w:rsid w:val="00BE427D"/>
    <w:rsid w:val="00BE489E"/>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632E"/>
    <w:rsid w:val="00BE6C0B"/>
    <w:rsid w:val="00BE6C56"/>
    <w:rsid w:val="00BE6E64"/>
    <w:rsid w:val="00BE6F53"/>
    <w:rsid w:val="00BE783E"/>
    <w:rsid w:val="00BE79DB"/>
    <w:rsid w:val="00BE7CCA"/>
    <w:rsid w:val="00BF0000"/>
    <w:rsid w:val="00BF040A"/>
    <w:rsid w:val="00BF040C"/>
    <w:rsid w:val="00BF07E3"/>
    <w:rsid w:val="00BF09DE"/>
    <w:rsid w:val="00BF0BDD"/>
    <w:rsid w:val="00BF0C07"/>
    <w:rsid w:val="00BF0CE2"/>
    <w:rsid w:val="00BF0EE4"/>
    <w:rsid w:val="00BF0F4B"/>
    <w:rsid w:val="00BF1279"/>
    <w:rsid w:val="00BF127B"/>
    <w:rsid w:val="00BF17B9"/>
    <w:rsid w:val="00BF1A49"/>
    <w:rsid w:val="00BF1BAC"/>
    <w:rsid w:val="00BF1DB1"/>
    <w:rsid w:val="00BF1EB9"/>
    <w:rsid w:val="00BF2240"/>
    <w:rsid w:val="00BF22D3"/>
    <w:rsid w:val="00BF25D3"/>
    <w:rsid w:val="00BF2846"/>
    <w:rsid w:val="00BF2883"/>
    <w:rsid w:val="00BF2900"/>
    <w:rsid w:val="00BF2A6A"/>
    <w:rsid w:val="00BF2BAC"/>
    <w:rsid w:val="00BF2D1F"/>
    <w:rsid w:val="00BF2FBE"/>
    <w:rsid w:val="00BF3010"/>
    <w:rsid w:val="00BF3180"/>
    <w:rsid w:val="00BF3478"/>
    <w:rsid w:val="00BF38B1"/>
    <w:rsid w:val="00BF3A53"/>
    <w:rsid w:val="00BF3DC1"/>
    <w:rsid w:val="00BF4119"/>
    <w:rsid w:val="00BF456A"/>
    <w:rsid w:val="00BF45E5"/>
    <w:rsid w:val="00BF46C8"/>
    <w:rsid w:val="00BF492C"/>
    <w:rsid w:val="00BF4AF1"/>
    <w:rsid w:val="00BF4CAE"/>
    <w:rsid w:val="00BF4FD0"/>
    <w:rsid w:val="00BF5581"/>
    <w:rsid w:val="00BF5998"/>
    <w:rsid w:val="00BF5A15"/>
    <w:rsid w:val="00BF5B9D"/>
    <w:rsid w:val="00BF5CCB"/>
    <w:rsid w:val="00BF602D"/>
    <w:rsid w:val="00BF66F6"/>
    <w:rsid w:val="00BF6B00"/>
    <w:rsid w:val="00BF6C8C"/>
    <w:rsid w:val="00BF6C8F"/>
    <w:rsid w:val="00BF6D93"/>
    <w:rsid w:val="00BF6F1D"/>
    <w:rsid w:val="00BF71A7"/>
    <w:rsid w:val="00BF767C"/>
    <w:rsid w:val="00BF7A28"/>
    <w:rsid w:val="00BF7E9D"/>
    <w:rsid w:val="00BF7F9B"/>
    <w:rsid w:val="00C00413"/>
    <w:rsid w:val="00C004B9"/>
    <w:rsid w:val="00C00A67"/>
    <w:rsid w:val="00C00B5F"/>
    <w:rsid w:val="00C00DE9"/>
    <w:rsid w:val="00C00F78"/>
    <w:rsid w:val="00C017BE"/>
    <w:rsid w:val="00C018C0"/>
    <w:rsid w:val="00C01A8D"/>
    <w:rsid w:val="00C01F78"/>
    <w:rsid w:val="00C0235A"/>
    <w:rsid w:val="00C024B8"/>
    <w:rsid w:val="00C027D9"/>
    <w:rsid w:val="00C02D2C"/>
    <w:rsid w:val="00C02F97"/>
    <w:rsid w:val="00C0353B"/>
    <w:rsid w:val="00C035BA"/>
    <w:rsid w:val="00C036BC"/>
    <w:rsid w:val="00C0382C"/>
    <w:rsid w:val="00C03896"/>
    <w:rsid w:val="00C0392D"/>
    <w:rsid w:val="00C03B09"/>
    <w:rsid w:val="00C042BB"/>
    <w:rsid w:val="00C042FD"/>
    <w:rsid w:val="00C042FE"/>
    <w:rsid w:val="00C04B3C"/>
    <w:rsid w:val="00C04F10"/>
    <w:rsid w:val="00C04F23"/>
    <w:rsid w:val="00C051C4"/>
    <w:rsid w:val="00C051E4"/>
    <w:rsid w:val="00C055C6"/>
    <w:rsid w:val="00C05CBD"/>
    <w:rsid w:val="00C05D30"/>
    <w:rsid w:val="00C063A4"/>
    <w:rsid w:val="00C0661D"/>
    <w:rsid w:val="00C067FE"/>
    <w:rsid w:val="00C068CE"/>
    <w:rsid w:val="00C06CDE"/>
    <w:rsid w:val="00C06ECB"/>
    <w:rsid w:val="00C06F26"/>
    <w:rsid w:val="00C06F8E"/>
    <w:rsid w:val="00C0742E"/>
    <w:rsid w:val="00C07472"/>
    <w:rsid w:val="00C07A8B"/>
    <w:rsid w:val="00C07B70"/>
    <w:rsid w:val="00C07D2B"/>
    <w:rsid w:val="00C07DF3"/>
    <w:rsid w:val="00C07EF7"/>
    <w:rsid w:val="00C07F99"/>
    <w:rsid w:val="00C07FE2"/>
    <w:rsid w:val="00C10093"/>
    <w:rsid w:val="00C1066F"/>
    <w:rsid w:val="00C1087B"/>
    <w:rsid w:val="00C108BC"/>
    <w:rsid w:val="00C10A07"/>
    <w:rsid w:val="00C10A4A"/>
    <w:rsid w:val="00C10AA0"/>
    <w:rsid w:val="00C10B05"/>
    <w:rsid w:val="00C10BFB"/>
    <w:rsid w:val="00C10EBD"/>
    <w:rsid w:val="00C11011"/>
    <w:rsid w:val="00C1143A"/>
    <w:rsid w:val="00C1148E"/>
    <w:rsid w:val="00C11515"/>
    <w:rsid w:val="00C11573"/>
    <w:rsid w:val="00C1169E"/>
    <w:rsid w:val="00C11779"/>
    <w:rsid w:val="00C1209A"/>
    <w:rsid w:val="00C128A0"/>
    <w:rsid w:val="00C12BB2"/>
    <w:rsid w:val="00C12F17"/>
    <w:rsid w:val="00C13266"/>
    <w:rsid w:val="00C132C9"/>
    <w:rsid w:val="00C133F9"/>
    <w:rsid w:val="00C1349A"/>
    <w:rsid w:val="00C13A48"/>
    <w:rsid w:val="00C13B81"/>
    <w:rsid w:val="00C13C6E"/>
    <w:rsid w:val="00C13DA4"/>
    <w:rsid w:val="00C13FA0"/>
    <w:rsid w:val="00C143C9"/>
    <w:rsid w:val="00C145FC"/>
    <w:rsid w:val="00C14671"/>
    <w:rsid w:val="00C14722"/>
    <w:rsid w:val="00C14B26"/>
    <w:rsid w:val="00C1501B"/>
    <w:rsid w:val="00C1547F"/>
    <w:rsid w:val="00C156B9"/>
    <w:rsid w:val="00C15946"/>
    <w:rsid w:val="00C15CF7"/>
    <w:rsid w:val="00C15FE3"/>
    <w:rsid w:val="00C164D4"/>
    <w:rsid w:val="00C16787"/>
    <w:rsid w:val="00C16CAA"/>
    <w:rsid w:val="00C16D0E"/>
    <w:rsid w:val="00C16E63"/>
    <w:rsid w:val="00C17076"/>
    <w:rsid w:val="00C175BE"/>
    <w:rsid w:val="00C17623"/>
    <w:rsid w:val="00C178B0"/>
    <w:rsid w:val="00C178DB"/>
    <w:rsid w:val="00C17A80"/>
    <w:rsid w:val="00C17C0D"/>
    <w:rsid w:val="00C17CBC"/>
    <w:rsid w:val="00C20219"/>
    <w:rsid w:val="00C20789"/>
    <w:rsid w:val="00C2090E"/>
    <w:rsid w:val="00C20B6E"/>
    <w:rsid w:val="00C20E1F"/>
    <w:rsid w:val="00C20F2D"/>
    <w:rsid w:val="00C210D0"/>
    <w:rsid w:val="00C2139D"/>
    <w:rsid w:val="00C21508"/>
    <w:rsid w:val="00C2159D"/>
    <w:rsid w:val="00C215D6"/>
    <w:rsid w:val="00C21EEE"/>
    <w:rsid w:val="00C22257"/>
    <w:rsid w:val="00C226D3"/>
    <w:rsid w:val="00C226F6"/>
    <w:rsid w:val="00C22E01"/>
    <w:rsid w:val="00C22F9B"/>
    <w:rsid w:val="00C231BA"/>
    <w:rsid w:val="00C23437"/>
    <w:rsid w:val="00C236DA"/>
    <w:rsid w:val="00C239E8"/>
    <w:rsid w:val="00C23D15"/>
    <w:rsid w:val="00C23F64"/>
    <w:rsid w:val="00C2431C"/>
    <w:rsid w:val="00C24EF2"/>
    <w:rsid w:val="00C253F5"/>
    <w:rsid w:val="00C25853"/>
    <w:rsid w:val="00C258F1"/>
    <w:rsid w:val="00C259DF"/>
    <w:rsid w:val="00C259EC"/>
    <w:rsid w:val="00C25B7D"/>
    <w:rsid w:val="00C25BA1"/>
    <w:rsid w:val="00C25F72"/>
    <w:rsid w:val="00C261C3"/>
    <w:rsid w:val="00C266D7"/>
    <w:rsid w:val="00C26BDA"/>
    <w:rsid w:val="00C26D5D"/>
    <w:rsid w:val="00C27193"/>
    <w:rsid w:val="00C27583"/>
    <w:rsid w:val="00C275EC"/>
    <w:rsid w:val="00C2786E"/>
    <w:rsid w:val="00C27C09"/>
    <w:rsid w:val="00C27C95"/>
    <w:rsid w:val="00C27FE6"/>
    <w:rsid w:val="00C304E4"/>
    <w:rsid w:val="00C30545"/>
    <w:rsid w:val="00C3060C"/>
    <w:rsid w:val="00C308D3"/>
    <w:rsid w:val="00C3098D"/>
    <w:rsid w:val="00C30B8F"/>
    <w:rsid w:val="00C30BFA"/>
    <w:rsid w:val="00C30C55"/>
    <w:rsid w:val="00C30D43"/>
    <w:rsid w:val="00C30ECE"/>
    <w:rsid w:val="00C30F3B"/>
    <w:rsid w:val="00C31143"/>
    <w:rsid w:val="00C314E3"/>
    <w:rsid w:val="00C31BC7"/>
    <w:rsid w:val="00C31D6F"/>
    <w:rsid w:val="00C31ED1"/>
    <w:rsid w:val="00C31F98"/>
    <w:rsid w:val="00C32280"/>
    <w:rsid w:val="00C32582"/>
    <w:rsid w:val="00C32709"/>
    <w:rsid w:val="00C3270B"/>
    <w:rsid w:val="00C32CF4"/>
    <w:rsid w:val="00C32DB3"/>
    <w:rsid w:val="00C32F16"/>
    <w:rsid w:val="00C33240"/>
    <w:rsid w:val="00C3354F"/>
    <w:rsid w:val="00C335FA"/>
    <w:rsid w:val="00C33846"/>
    <w:rsid w:val="00C33D66"/>
    <w:rsid w:val="00C34017"/>
    <w:rsid w:val="00C3403E"/>
    <w:rsid w:val="00C341AE"/>
    <w:rsid w:val="00C3436C"/>
    <w:rsid w:val="00C344D2"/>
    <w:rsid w:val="00C34591"/>
    <w:rsid w:val="00C345ED"/>
    <w:rsid w:val="00C34809"/>
    <w:rsid w:val="00C34A05"/>
    <w:rsid w:val="00C34CF2"/>
    <w:rsid w:val="00C352CA"/>
    <w:rsid w:val="00C35303"/>
    <w:rsid w:val="00C353D6"/>
    <w:rsid w:val="00C35551"/>
    <w:rsid w:val="00C35767"/>
    <w:rsid w:val="00C35781"/>
    <w:rsid w:val="00C35886"/>
    <w:rsid w:val="00C35A91"/>
    <w:rsid w:val="00C35ABB"/>
    <w:rsid w:val="00C35B62"/>
    <w:rsid w:val="00C35D05"/>
    <w:rsid w:val="00C35DAA"/>
    <w:rsid w:val="00C35DB4"/>
    <w:rsid w:val="00C36044"/>
    <w:rsid w:val="00C3604A"/>
    <w:rsid w:val="00C3607E"/>
    <w:rsid w:val="00C36277"/>
    <w:rsid w:val="00C363F6"/>
    <w:rsid w:val="00C366A2"/>
    <w:rsid w:val="00C36845"/>
    <w:rsid w:val="00C36A47"/>
    <w:rsid w:val="00C375AB"/>
    <w:rsid w:val="00C375B0"/>
    <w:rsid w:val="00C378B5"/>
    <w:rsid w:val="00C4003C"/>
    <w:rsid w:val="00C40044"/>
    <w:rsid w:val="00C4009D"/>
    <w:rsid w:val="00C4025C"/>
    <w:rsid w:val="00C40875"/>
    <w:rsid w:val="00C40C6D"/>
    <w:rsid w:val="00C41014"/>
    <w:rsid w:val="00C4121C"/>
    <w:rsid w:val="00C412C6"/>
    <w:rsid w:val="00C413F3"/>
    <w:rsid w:val="00C417AF"/>
    <w:rsid w:val="00C41811"/>
    <w:rsid w:val="00C41E9F"/>
    <w:rsid w:val="00C420B5"/>
    <w:rsid w:val="00C421F3"/>
    <w:rsid w:val="00C422FB"/>
    <w:rsid w:val="00C429B3"/>
    <w:rsid w:val="00C42A46"/>
    <w:rsid w:val="00C42B14"/>
    <w:rsid w:val="00C43016"/>
    <w:rsid w:val="00C4328E"/>
    <w:rsid w:val="00C434D8"/>
    <w:rsid w:val="00C4372C"/>
    <w:rsid w:val="00C441B7"/>
    <w:rsid w:val="00C44EE5"/>
    <w:rsid w:val="00C45258"/>
    <w:rsid w:val="00C45405"/>
    <w:rsid w:val="00C454B0"/>
    <w:rsid w:val="00C4573D"/>
    <w:rsid w:val="00C45A10"/>
    <w:rsid w:val="00C45B88"/>
    <w:rsid w:val="00C45C20"/>
    <w:rsid w:val="00C46210"/>
    <w:rsid w:val="00C46526"/>
    <w:rsid w:val="00C4693B"/>
    <w:rsid w:val="00C46CD4"/>
    <w:rsid w:val="00C46D97"/>
    <w:rsid w:val="00C46DAF"/>
    <w:rsid w:val="00C46F64"/>
    <w:rsid w:val="00C46F97"/>
    <w:rsid w:val="00C46FC2"/>
    <w:rsid w:val="00C470CB"/>
    <w:rsid w:val="00C47275"/>
    <w:rsid w:val="00C473A1"/>
    <w:rsid w:val="00C47798"/>
    <w:rsid w:val="00C501EA"/>
    <w:rsid w:val="00C50620"/>
    <w:rsid w:val="00C50726"/>
    <w:rsid w:val="00C50ABC"/>
    <w:rsid w:val="00C50CE0"/>
    <w:rsid w:val="00C50D29"/>
    <w:rsid w:val="00C50E43"/>
    <w:rsid w:val="00C50ECA"/>
    <w:rsid w:val="00C5108B"/>
    <w:rsid w:val="00C514B6"/>
    <w:rsid w:val="00C517A4"/>
    <w:rsid w:val="00C518AE"/>
    <w:rsid w:val="00C51918"/>
    <w:rsid w:val="00C51B9F"/>
    <w:rsid w:val="00C52229"/>
    <w:rsid w:val="00C527F7"/>
    <w:rsid w:val="00C52A65"/>
    <w:rsid w:val="00C52CBF"/>
    <w:rsid w:val="00C52F15"/>
    <w:rsid w:val="00C53167"/>
    <w:rsid w:val="00C534AA"/>
    <w:rsid w:val="00C537A3"/>
    <w:rsid w:val="00C539C9"/>
    <w:rsid w:val="00C53A1A"/>
    <w:rsid w:val="00C53A45"/>
    <w:rsid w:val="00C53D30"/>
    <w:rsid w:val="00C53D78"/>
    <w:rsid w:val="00C53FF1"/>
    <w:rsid w:val="00C54325"/>
    <w:rsid w:val="00C54524"/>
    <w:rsid w:val="00C545E4"/>
    <w:rsid w:val="00C548D3"/>
    <w:rsid w:val="00C54F70"/>
    <w:rsid w:val="00C55575"/>
    <w:rsid w:val="00C5560B"/>
    <w:rsid w:val="00C5580A"/>
    <w:rsid w:val="00C5587D"/>
    <w:rsid w:val="00C5599E"/>
    <w:rsid w:val="00C55AA7"/>
    <w:rsid w:val="00C55DC4"/>
    <w:rsid w:val="00C55E1A"/>
    <w:rsid w:val="00C55F88"/>
    <w:rsid w:val="00C563EB"/>
    <w:rsid w:val="00C564A4"/>
    <w:rsid w:val="00C564D5"/>
    <w:rsid w:val="00C5652F"/>
    <w:rsid w:val="00C5653F"/>
    <w:rsid w:val="00C56AF2"/>
    <w:rsid w:val="00C56E10"/>
    <w:rsid w:val="00C56F6D"/>
    <w:rsid w:val="00C5717F"/>
    <w:rsid w:val="00C57A40"/>
    <w:rsid w:val="00C57E47"/>
    <w:rsid w:val="00C604ED"/>
    <w:rsid w:val="00C60A6E"/>
    <w:rsid w:val="00C60DBF"/>
    <w:rsid w:val="00C60EF3"/>
    <w:rsid w:val="00C6101B"/>
    <w:rsid w:val="00C6119E"/>
    <w:rsid w:val="00C61327"/>
    <w:rsid w:val="00C6162E"/>
    <w:rsid w:val="00C6164C"/>
    <w:rsid w:val="00C61921"/>
    <w:rsid w:val="00C61A25"/>
    <w:rsid w:val="00C62169"/>
    <w:rsid w:val="00C62879"/>
    <w:rsid w:val="00C62C24"/>
    <w:rsid w:val="00C62C57"/>
    <w:rsid w:val="00C62E8F"/>
    <w:rsid w:val="00C62F2B"/>
    <w:rsid w:val="00C638AA"/>
    <w:rsid w:val="00C63968"/>
    <w:rsid w:val="00C63AF8"/>
    <w:rsid w:val="00C63DA7"/>
    <w:rsid w:val="00C63E0F"/>
    <w:rsid w:val="00C63E9F"/>
    <w:rsid w:val="00C64147"/>
    <w:rsid w:val="00C64195"/>
    <w:rsid w:val="00C64241"/>
    <w:rsid w:val="00C64D32"/>
    <w:rsid w:val="00C64D75"/>
    <w:rsid w:val="00C65257"/>
    <w:rsid w:val="00C654C9"/>
    <w:rsid w:val="00C65851"/>
    <w:rsid w:val="00C65970"/>
    <w:rsid w:val="00C659A9"/>
    <w:rsid w:val="00C65BCE"/>
    <w:rsid w:val="00C65BDF"/>
    <w:rsid w:val="00C65F14"/>
    <w:rsid w:val="00C66443"/>
    <w:rsid w:val="00C665E0"/>
    <w:rsid w:val="00C66967"/>
    <w:rsid w:val="00C66BCE"/>
    <w:rsid w:val="00C66CFF"/>
    <w:rsid w:val="00C67067"/>
    <w:rsid w:val="00C672F8"/>
    <w:rsid w:val="00C6736F"/>
    <w:rsid w:val="00C674DB"/>
    <w:rsid w:val="00C6757E"/>
    <w:rsid w:val="00C678C4"/>
    <w:rsid w:val="00C67D00"/>
    <w:rsid w:val="00C67FA8"/>
    <w:rsid w:val="00C70109"/>
    <w:rsid w:val="00C70112"/>
    <w:rsid w:val="00C70114"/>
    <w:rsid w:val="00C70387"/>
    <w:rsid w:val="00C7050C"/>
    <w:rsid w:val="00C70553"/>
    <w:rsid w:val="00C70718"/>
    <w:rsid w:val="00C70821"/>
    <w:rsid w:val="00C70A49"/>
    <w:rsid w:val="00C70A6A"/>
    <w:rsid w:val="00C70CC1"/>
    <w:rsid w:val="00C70FDF"/>
    <w:rsid w:val="00C7111E"/>
    <w:rsid w:val="00C71996"/>
    <w:rsid w:val="00C720B7"/>
    <w:rsid w:val="00C7210A"/>
    <w:rsid w:val="00C728A3"/>
    <w:rsid w:val="00C7296C"/>
    <w:rsid w:val="00C72AF1"/>
    <w:rsid w:val="00C72D86"/>
    <w:rsid w:val="00C7331A"/>
    <w:rsid w:val="00C738CF"/>
    <w:rsid w:val="00C73ABA"/>
    <w:rsid w:val="00C73BD4"/>
    <w:rsid w:val="00C7424A"/>
    <w:rsid w:val="00C742DF"/>
    <w:rsid w:val="00C746E4"/>
    <w:rsid w:val="00C74C81"/>
    <w:rsid w:val="00C74D17"/>
    <w:rsid w:val="00C74E52"/>
    <w:rsid w:val="00C74F8D"/>
    <w:rsid w:val="00C7507C"/>
    <w:rsid w:val="00C7559A"/>
    <w:rsid w:val="00C756A8"/>
    <w:rsid w:val="00C759EF"/>
    <w:rsid w:val="00C75B6F"/>
    <w:rsid w:val="00C75BCE"/>
    <w:rsid w:val="00C75FCD"/>
    <w:rsid w:val="00C7627F"/>
    <w:rsid w:val="00C76753"/>
    <w:rsid w:val="00C767DE"/>
    <w:rsid w:val="00C76860"/>
    <w:rsid w:val="00C768E8"/>
    <w:rsid w:val="00C76B0E"/>
    <w:rsid w:val="00C76D63"/>
    <w:rsid w:val="00C76E4F"/>
    <w:rsid w:val="00C7737C"/>
    <w:rsid w:val="00C77471"/>
    <w:rsid w:val="00C77BE4"/>
    <w:rsid w:val="00C77CEE"/>
    <w:rsid w:val="00C77E1F"/>
    <w:rsid w:val="00C77F6E"/>
    <w:rsid w:val="00C8033B"/>
    <w:rsid w:val="00C804CC"/>
    <w:rsid w:val="00C8074C"/>
    <w:rsid w:val="00C80ABC"/>
    <w:rsid w:val="00C80B79"/>
    <w:rsid w:val="00C80DA7"/>
    <w:rsid w:val="00C80FCC"/>
    <w:rsid w:val="00C80FE9"/>
    <w:rsid w:val="00C8131B"/>
    <w:rsid w:val="00C81588"/>
    <w:rsid w:val="00C816BA"/>
    <w:rsid w:val="00C81948"/>
    <w:rsid w:val="00C81A19"/>
    <w:rsid w:val="00C81BB8"/>
    <w:rsid w:val="00C8228A"/>
    <w:rsid w:val="00C82617"/>
    <w:rsid w:val="00C827A5"/>
    <w:rsid w:val="00C82A42"/>
    <w:rsid w:val="00C82B2C"/>
    <w:rsid w:val="00C830C8"/>
    <w:rsid w:val="00C83402"/>
    <w:rsid w:val="00C8359A"/>
    <w:rsid w:val="00C835E9"/>
    <w:rsid w:val="00C84044"/>
    <w:rsid w:val="00C843C6"/>
    <w:rsid w:val="00C8446F"/>
    <w:rsid w:val="00C84620"/>
    <w:rsid w:val="00C8479C"/>
    <w:rsid w:val="00C84A9A"/>
    <w:rsid w:val="00C854CE"/>
    <w:rsid w:val="00C854E2"/>
    <w:rsid w:val="00C854F5"/>
    <w:rsid w:val="00C856C6"/>
    <w:rsid w:val="00C8585B"/>
    <w:rsid w:val="00C858DC"/>
    <w:rsid w:val="00C85AA1"/>
    <w:rsid w:val="00C85AAD"/>
    <w:rsid w:val="00C85B06"/>
    <w:rsid w:val="00C85BEF"/>
    <w:rsid w:val="00C85C17"/>
    <w:rsid w:val="00C85E01"/>
    <w:rsid w:val="00C85E40"/>
    <w:rsid w:val="00C85F9D"/>
    <w:rsid w:val="00C862DB"/>
    <w:rsid w:val="00C86422"/>
    <w:rsid w:val="00C86797"/>
    <w:rsid w:val="00C86CED"/>
    <w:rsid w:val="00C86F72"/>
    <w:rsid w:val="00C87366"/>
    <w:rsid w:val="00C8739C"/>
    <w:rsid w:val="00C876B0"/>
    <w:rsid w:val="00C87845"/>
    <w:rsid w:val="00C87CAF"/>
    <w:rsid w:val="00C900B1"/>
    <w:rsid w:val="00C90188"/>
    <w:rsid w:val="00C9057C"/>
    <w:rsid w:val="00C9081E"/>
    <w:rsid w:val="00C908D8"/>
    <w:rsid w:val="00C90D35"/>
    <w:rsid w:val="00C90EBD"/>
    <w:rsid w:val="00C90FB8"/>
    <w:rsid w:val="00C9100E"/>
    <w:rsid w:val="00C9103A"/>
    <w:rsid w:val="00C91205"/>
    <w:rsid w:val="00C91245"/>
    <w:rsid w:val="00C912C1"/>
    <w:rsid w:val="00C9138D"/>
    <w:rsid w:val="00C91590"/>
    <w:rsid w:val="00C9163C"/>
    <w:rsid w:val="00C91AB6"/>
    <w:rsid w:val="00C91BBD"/>
    <w:rsid w:val="00C9220D"/>
    <w:rsid w:val="00C9268D"/>
    <w:rsid w:val="00C928B1"/>
    <w:rsid w:val="00C92C37"/>
    <w:rsid w:val="00C92D6B"/>
    <w:rsid w:val="00C92E21"/>
    <w:rsid w:val="00C92E4E"/>
    <w:rsid w:val="00C930CF"/>
    <w:rsid w:val="00C930DB"/>
    <w:rsid w:val="00C93102"/>
    <w:rsid w:val="00C9314E"/>
    <w:rsid w:val="00C931BD"/>
    <w:rsid w:val="00C932E7"/>
    <w:rsid w:val="00C93BDE"/>
    <w:rsid w:val="00C93E29"/>
    <w:rsid w:val="00C93E98"/>
    <w:rsid w:val="00C93E9C"/>
    <w:rsid w:val="00C9421B"/>
    <w:rsid w:val="00C9427D"/>
    <w:rsid w:val="00C9448C"/>
    <w:rsid w:val="00C94678"/>
    <w:rsid w:val="00C948E8"/>
    <w:rsid w:val="00C94AE0"/>
    <w:rsid w:val="00C94C65"/>
    <w:rsid w:val="00C94FB3"/>
    <w:rsid w:val="00C95105"/>
    <w:rsid w:val="00C95247"/>
    <w:rsid w:val="00C952EC"/>
    <w:rsid w:val="00C9548E"/>
    <w:rsid w:val="00C95C88"/>
    <w:rsid w:val="00C9601F"/>
    <w:rsid w:val="00C9605E"/>
    <w:rsid w:val="00C96855"/>
    <w:rsid w:val="00C969BC"/>
    <w:rsid w:val="00C96B2D"/>
    <w:rsid w:val="00C96B41"/>
    <w:rsid w:val="00C96D20"/>
    <w:rsid w:val="00C96F47"/>
    <w:rsid w:val="00C970B9"/>
    <w:rsid w:val="00C972AD"/>
    <w:rsid w:val="00C97573"/>
    <w:rsid w:val="00C978C5"/>
    <w:rsid w:val="00C97933"/>
    <w:rsid w:val="00C97A4D"/>
    <w:rsid w:val="00C97C67"/>
    <w:rsid w:val="00CA013C"/>
    <w:rsid w:val="00CA0593"/>
    <w:rsid w:val="00CA11BB"/>
    <w:rsid w:val="00CA1538"/>
    <w:rsid w:val="00CA17AE"/>
    <w:rsid w:val="00CA17AF"/>
    <w:rsid w:val="00CA18A9"/>
    <w:rsid w:val="00CA1DF6"/>
    <w:rsid w:val="00CA1E72"/>
    <w:rsid w:val="00CA1EEB"/>
    <w:rsid w:val="00CA1FC4"/>
    <w:rsid w:val="00CA2099"/>
    <w:rsid w:val="00CA2325"/>
    <w:rsid w:val="00CA274D"/>
    <w:rsid w:val="00CA28CB"/>
    <w:rsid w:val="00CA2936"/>
    <w:rsid w:val="00CA2FA7"/>
    <w:rsid w:val="00CA3463"/>
    <w:rsid w:val="00CA349F"/>
    <w:rsid w:val="00CA389E"/>
    <w:rsid w:val="00CA3956"/>
    <w:rsid w:val="00CA3B9A"/>
    <w:rsid w:val="00CA3F97"/>
    <w:rsid w:val="00CA4275"/>
    <w:rsid w:val="00CA4568"/>
    <w:rsid w:val="00CA4ABF"/>
    <w:rsid w:val="00CA4EAE"/>
    <w:rsid w:val="00CA4F0E"/>
    <w:rsid w:val="00CA4FD6"/>
    <w:rsid w:val="00CA5122"/>
    <w:rsid w:val="00CA533B"/>
    <w:rsid w:val="00CA5513"/>
    <w:rsid w:val="00CA5776"/>
    <w:rsid w:val="00CA581E"/>
    <w:rsid w:val="00CA58BE"/>
    <w:rsid w:val="00CA5FE0"/>
    <w:rsid w:val="00CA6022"/>
    <w:rsid w:val="00CA6675"/>
    <w:rsid w:val="00CA684A"/>
    <w:rsid w:val="00CA6939"/>
    <w:rsid w:val="00CA6B9E"/>
    <w:rsid w:val="00CA71AD"/>
    <w:rsid w:val="00CA726B"/>
    <w:rsid w:val="00CA730D"/>
    <w:rsid w:val="00CA78F6"/>
    <w:rsid w:val="00CA7948"/>
    <w:rsid w:val="00CA7FD6"/>
    <w:rsid w:val="00CB025E"/>
    <w:rsid w:val="00CB03D2"/>
    <w:rsid w:val="00CB0405"/>
    <w:rsid w:val="00CB062B"/>
    <w:rsid w:val="00CB0A7A"/>
    <w:rsid w:val="00CB0B14"/>
    <w:rsid w:val="00CB0D33"/>
    <w:rsid w:val="00CB0E59"/>
    <w:rsid w:val="00CB1610"/>
    <w:rsid w:val="00CB1B8A"/>
    <w:rsid w:val="00CB1BC2"/>
    <w:rsid w:val="00CB1F15"/>
    <w:rsid w:val="00CB1F9A"/>
    <w:rsid w:val="00CB2283"/>
    <w:rsid w:val="00CB2487"/>
    <w:rsid w:val="00CB25FF"/>
    <w:rsid w:val="00CB39D1"/>
    <w:rsid w:val="00CB3E68"/>
    <w:rsid w:val="00CB401F"/>
    <w:rsid w:val="00CB40F1"/>
    <w:rsid w:val="00CB41CA"/>
    <w:rsid w:val="00CB477C"/>
    <w:rsid w:val="00CB498B"/>
    <w:rsid w:val="00CB4A5D"/>
    <w:rsid w:val="00CB4C02"/>
    <w:rsid w:val="00CB4C36"/>
    <w:rsid w:val="00CB4CD6"/>
    <w:rsid w:val="00CB5272"/>
    <w:rsid w:val="00CB538C"/>
    <w:rsid w:val="00CB53B4"/>
    <w:rsid w:val="00CB5AE6"/>
    <w:rsid w:val="00CB5BC4"/>
    <w:rsid w:val="00CB5C87"/>
    <w:rsid w:val="00CB5E53"/>
    <w:rsid w:val="00CB5E63"/>
    <w:rsid w:val="00CB6589"/>
    <w:rsid w:val="00CB6735"/>
    <w:rsid w:val="00CB686F"/>
    <w:rsid w:val="00CB6B2F"/>
    <w:rsid w:val="00CB6F26"/>
    <w:rsid w:val="00CB6F83"/>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ACF"/>
    <w:rsid w:val="00CC1D32"/>
    <w:rsid w:val="00CC2008"/>
    <w:rsid w:val="00CC245B"/>
    <w:rsid w:val="00CC2484"/>
    <w:rsid w:val="00CC257B"/>
    <w:rsid w:val="00CC26F1"/>
    <w:rsid w:val="00CC3185"/>
    <w:rsid w:val="00CC31B8"/>
    <w:rsid w:val="00CC35C4"/>
    <w:rsid w:val="00CC36E3"/>
    <w:rsid w:val="00CC3AFC"/>
    <w:rsid w:val="00CC4734"/>
    <w:rsid w:val="00CC47F5"/>
    <w:rsid w:val="00CC4884"/>
    <w:rsid w:val="00CC4AF3"/>
    <w:rsid w:val="00CC4B00"/>
    <w:rsid w:val="00CC4C9F"/>
    <w:rsid w:val="00CC4F10"/>
    <w:rsid w:val="00CC50B7"/>
    <w:rsid w:val="00CC52AF"/>
    <w:rsid w:val="00CC5499"/>
    <w:rsid w:val="00CC57B3"/>
    <w:rsid w:val="00CC5A7D"/>
    <w:rsid w:val="00CC5F05"/>
    <w:rsid w:val="00CC5F3D"/>
    <w:rsid w:val="00CC62EB"/>
    <w:rsid w:val="00CC6549"/>
    <w:rsid w:val="00CC6584"/>
    <w:rsid w:val="00CC668E"/>
    <w:rsid w:val="00CC6C76"/>
    <w:rsid w:val="00CC70E5"/>
    <w:rsid w:val="00CC7318"/>
    <w:rsid w:val="00CC73E1"/>
    <w:rsid w:val="00CC74C3"/>
    <w:rsid w:val="00CC76C2"/>
    <w:rsid w:val="00CC78FB"/>
    <w:rsid w:val="00CC7AC6"/>
    <w:rsid w:val="00CC7C5A"/>
    <w:rsid w:val="00CD00DA"/>
    <w:rsid w:val="00CD0134"/>
    <w:rsid w:val="00CD027C"/>
    <w:rsid w:val="00CD05F2"/>
    <w:rsid w:val="00CD0790"/>
    <w:rsid w:val="00CD09DE"/>
    <w:rsid w:val="00CD0BEF"/>
    <w:rsid w:val="00CD0C81"/>
    <w:rsid w:val="00CD12BE"/>
    <w:rsid w:val="00CD1438"/>
    <w:rsid w:val="00CD1744"/>
    <w:rsid w:val="00CD1C77"/>
    <w:rsid w:val="00CD21D8"/>
    <w:rsid w:val="00CD2467"/>
    <w:rsid w:val="00CD250C"/>
    <w:rsid w:val="00CD282C"/>
    <w:rsid w:val="00CD29EF"/>
    <w:rsid w:val="00CD2B5A"/>
    <w:rsid w:val="00CD30C7"/>
    <w:rsid w:val="00CD31BB"/>
    <w:rsid w:val="00CD3316"/>
    <w:rsid w:val="00CD3536"/>
    <w:rsid w:val="00CD397C"/>
    <w:rsid w:val="00CD3C05"/>
    <w:rsid w:val="00CD4904"/>
    <w:rsid w:val="00CD4BE8"/>
    <w:rsid w:val="00CD4E2A"/>
    <w:rsid w:val="00CD4E69"/>
    <w:rsid w:val="00CD50DC"/>
    <w:rsid w:val="00CD568C"/>
    <w:rsid w:val="00CD5790"/>
    <w:rsid w:val="00CD59EB"/>
    <w:rsid w:val="00CD5A2E"/>
    <w:rsid w:val="00CD5D55"/>
    <w:rsid w:val="00CD5FCC"/>
    <w:rsid w:val="00CD6402"/>
    <w:rsid w:val="00CD6465"/>
    <w:rsid w:val="00CD652C"/>
    <w:rsid w:val="00CD6639"/>
    <w:rsid w:val="00CD6C5D"/>
    <w:rsid w:val="00CD6D24"/>
    <w:rsid w:val="00CD6EF0"/>
    <w:rsid w:val="00CD734A"/>
    <w:rsid w:val="00CD7769"/>
    <w:rsid w:val="00CD77DB"/>
    <w:rsid w:val="00CE0015"/>
    <w:rsid w:val="00CE029F"/>
    <w:rsid w:val="00CE085D"/>
    <w:rsid w:val="00CE1161"/>
    <w:rsid w:val="00CE1282"/>
    <w:rsid w:val="00CE1476"/>
    <w:rsid w:val="00CE15D3"/>
    <w:rsid w:val="00CE1716"/>
    <w:rsid w:val="00CE1D9C"/>
    <w:rsid w:val="00CE1EC0"/>
    <w:rsid w:val="00CE1FDB"/>
    <w:rsid w:val="00CE223E"/>
    <w:rsid w:val="00CE239D"/>
    <w:rsid w:val="00CE2682"/>
    <w:rsid w:val="00CE2AAA"/>
    <w:rsid w:val="00CE2ADE"/>
    <w:rsid w:val="00CE2DB8"/>
    <w:rsid w:val="00CE2E16"/>
    <w:rsid w:val="00CE2E7A"/>
    <w:rsid w:val="00CE2E82"/>
    <w:rsid w:val="00CE2FEF"/>
    <w:rsid w:val="00CE3001"/>
    <w:rsid w:val="00CE321C"/>
    <w:rsid w:val="00CE32AE"/>
    <w:rsid w:val="00CE3482"/>
    <w:rsid w:val="00CE35D6"/>
    <w:rsid w:val="00CE3633"/>
    <w:rsid w:val="00CE37EC"/>
    <w:rsid w:val="00CE3E3A"/>
    <w:rsid w:val="00CE3E8A"/>
    <w:rsid w:val="00CE3F28"/>
    <w:rsid w:val="00CE4304"/>
    <w:rsid w:val="00CE50C3"/>
    <w:rsid w:val="00CE5156"/>
    <w:rsid w:val="00CE5441"/>
    <w:rsid w:val="00CE54F0"/>
    <w:rsid w:val="00CE57B2"/>
    <w:rsid w:val="00CE58B0"/>
    <w:rsid w:val="00CE5902"/>
    <w:rsid w:val="00CE5940"/>
    <w:rsid w:val="00CE5FC4"/>
    <w:rsid w:val="00CE6353"/>
    <w:rsid w:val="00CE6924"/>
    <w:rsid w:val="00CE69E7"/>
    <w:rsid w:val="00CE74DC"/>
    <w:rsid w:val="00CE754B"/>
    <w:rsid w:val="00CE7B02"/>
    <w:rsid w:val="00CE7CA2"/>
    <w:rsid w:val="00CE7D7E"/>
    <w:rsid w:val="00CE7FF8"/>
    <w:rsid w:val="00CF039E"/>
    <w:rsid w:val="00CF05D5"/>
    <w:rsid w:val="00CF06C9"/>
    <w:rsid w:val="00CF11CB"/>
    <w:rsid w:val="00CF176D"/>
    <w:rsid w:val="00CF17E2"/>
    <w:rsid w:val="00CF1813"/>
    <w:rsid w:val="00CF1D54"/>
    <w:rsid w:val="00CF1F07"/>
    <w:rsid w:val="00CF2010"/>
    <w:rsid w:val="00CF20A4"/>
    <w:rsid w:val="00CF247F"/>
    <w:rsid w:val="00CF251B"/>
    <w:rsid w:val="00CF2558"/>
    <w:rsid w:val="00CF2738"/>
    <w:rsid w:val="00CF2ACC"/>
    <w:rsid w:val="00CF2CE3"/>
    <w:rsid w:val="00CF2D2A"/>
    <w:rsid w:val="00CF2D8D"/>
    <w:rsid w:val="00CF33BD"/>
    <w:rsid w:val="00CF35AA"/>
    <w:rsid w:val="00CF3622"/>
    <w:rsid w:val="00CF4146"/>
    <w:rsid w:val="00CF43CB"/>
    <w:rsid w:val="00CF4742"/>
    <w:rsid w:val="00CF4A2A"/>
    <w:rsid w:val="00CF4A6D"/>
    <w:rsid w:val="00CF4CF6"/>
    <w:rsid w:val="00CF4F20"/>
    <w:rsid w:val="00CF4F65"/>
    <w:rsid w:val="00CF52D6"/>
    <w:rsid w:val="00CF5B75"/>
    <w:rsid w:val="00CF5FDF"/>
    <w:rsid w:val="00CF6023"/>
    <w:rsid w:val="00CF60D1"/>
    <w:rsid w:val="00CF630B"/>
    <w:rsid w:val="00CF67C2"/>
    <w:rsid w:val="00CF6A4F"/>
    <w:rsid w:val="00CF6E33"/>
    <w:rsid w:val="00CF774C"/>
    <w:rsid w:val="00CF7931"/>
    <w:rsid w:val="00CF79E2"/>
    <w:rsid w:val="00CF7C91"/>
    <w:rsid w:val="00CF7DCA"/>
    <w:rsid w:val="00CF7EE0"/>
    <w:rsid w:val="00CF7F40"/>
    <w:rsid w:val="00CF7FE4"/>
    <w:rsid w:val="00D001CE"/>
    <w:rsid w:val="00D0040F"/>
    <w:rsid w:val="00D00488"/>
    <w:rsid w:val="00D007A1"/>
    <w:rsid w:val="00D007A5"/>
    <w:rsid w:val="00D00AAF"/>
    <w:rsid w:val="00D00B76"/>
    <w:rsid w:val="00D00EAA"/>
    <w:rsid w:val="00D010A0"/>
    <w:rsid w:val="00D01239"/>
    <w:rsid w:val="00D013A1"/>
    <w:rsid w:val="00D01406"/>
    <w:rsid w:val="00D01633"/>
    <w:rsid w:val="00D016D7"/>
    <w:rsid w:val="00D017C4"/>
    <w:rsid w:val="00D01CAB"/>
    <w:rsid w:val="00D023AA"/>
    <w:rsid w:val="00D029AB"/>
    <w:rsid w:val="00D02A29"/>
    <w:rsid w:val="00D02AB6"/>
    <w:rsid w:val="00D02B46"/>
    <w:rsid w:val="00D02BE7"/>
    <w:rsid w:val="00D037E4"/>
    <w:rsid w:val="00D039A5"/>
    <w:rsid w:val="00D04209"/>
    <w:rsid w:val="00D04224"/>
    <w:rsid w:val="00D04434"/>
    <w:rsid w:val="00D046EF"/>
    <w:rsid w:val="00D04F50"/>
    <w:rsid w:val="00D04F77"/>
    <w:rsid w:val="00D0525F"/>
    <w:rsid w:val="00D053B5"/>
    <w:rsid w:val="00D056A1"/>
    <w:rsid w:val="00D05743"/>
    <w:rsid w:val="00D06063"/>
    <w:rsid w:val="00D06182"/>
    <w:rsid w:val="00D061CD"/>
    <w:rsid w:val="00D061E8"/>
    <w:rsid w:val="00D06460"/>
    <w:rsid w:val="00D06461"/>
    <w:rsid w:val="00D065E3"/>
    <w:rsid w:val="00D068C7"/>
    <w:rsid w:val="00D06BFD"/>
    <w:rsid w:val="00D06D51"/>
    <w:rsid w:val="00D07146"/>
    <w:rsid w:val="00D0719C"/>
    <w:rsid w:val="00D073FA"/>
    <w:rsid w:val="00D07625"/>
    <w:rsid w:val="00D076F8"/>
    <w:rsid w:val="00D07925"/>
    <w:rsid w:val="00D07D74"/>
    <w:rsid w:val="00D1003B"/>
    <w:rsid w:val="00D1074A"/>
    <w:rsid w:val="00D1083C"/>
    <w:rsid w:val="00D10887"/>
    <w:rsid w:val="00D109F9"/>
    <w:rsid w:val="00D11020"/>
    <w:rsid w:val="00D1130D"/>
    <w:rsid w:val="00D115AE"/>
    <w:rsid w:val="00D119C3"/>
    <w:rsid w:val="00D11AE8"/>
    <w:rsid w:val="00D11C85"/>
    <w:rsid w:val="00D11CB3"/>
    <w:rsid w:val="00D11EF7"/>
    <w:rsid w:val="00D12624"/>
    <w:rsid w:val="00D12735"/>
    <w:rsid w:val="00D12A3E"/>
    <w:rsid w:val="00D12D51"/>
    <w:rsid w:val="00D12DE9"/>
    <w:rsid w:val="00D12FFE"/>
    <w:rsid w:val="00D1309D"/>
    <w:rsid w:val="00D1315D"/>
    <w:rsid w:val="00D131E8"/>
    <w:rsid w:val="00D13248"/>
    <w:rsid w:val="00D13494"/>
    <w:rsid w:val="00D1384A"/>
    <w:rsid w:val="00D13C9D"/>
    <w:rsid w:val="00D1439C"/>
    <w:rsid w:val="00D14764"/>
    <w:rsid w:val="00D148F6"/>
    <w:rsid w:val="00D14C21"/>
    <w:rsid w:val="00D14CA4"/>
    <w:rsid w:val="00D14CDD"/>
    <w:rsid w:val="00D14D76"/>
    <w:rsid w:val="00D152CC"/>
    <w:rsid w:val="00D1547F"/>
    <w:rsid w:val="00D1554F"/>
    <w:rsid w:val="00D15677"/>
    <w:rsid w:val="00D1576D"/>
    <w:rsid w:val="00D15A38"/>
    <w:rsid w:val="00D15E31"/>
    <w:rsid w:val="00D16000"/>
    <w:rsid w:val="00D165A0"/>
    <w:rsid w:val="00D165CB"/>
    <w:rsid w:val="00D167CE"/>
    <w:rsid w:val="00D167D4"/>
    <w:rsid w:val="00D1693A"/>
    <w:rsid w:val="00D16BC1"/>
    <w:rsid w:val="00D16E89"/>
    <w:rsid w:val="00D16FE2"/>
    <w:rsid w:val="00D1739C"/>
    <w:rsid w:val="00D174F4"/>
    <w:rsid w:val="00D17786"/>
    <w:rsid w:val="00D17AC1"/>
    <w:rsid w:val="00D17C9A"/>
    <w:rsid w:val="00D17D77"/>
    <w:rsid w:val="00D2051C"/>
    <w:rsid w:val="00D20561"/>
    <w:rsid w:val="00D207C9"/>
    <w:rsid w:val="00D20965"/>
    <w:rsid w:val="00D20C41"/>
    <w:rsid w:val="00D20E5B"/>
    <w:rsid w:val="00D20EEA"/>
    <w:rsid w:val="00D210AA"/>
    <w:rsid w:val="00D21210"/>
    <w:rsid w:val="00D2145D"/>
    <w:rsid w:val="00D2167F"/>
    <w:rsid w:val="00D2190F"/>
    <w:rsid w:val="00D21D69"/>
    <w:rsid w:val="00D21E1C"/>
    <w:rsid w:val="00D2216A"/>
    <w:rsid w:val="00D2217E"/>
    <w:rsid w:val="00D22F00"/>
    <w:rsid w:val="00D22FB6"/>
    <w:rsid w:val="00D22FD5"/>
    <w:rsid w:val="00D231EE"/>
    <w:rsid w:val="00D233CD"/>
    <w:rsid w:val="00D23873"/>
    <w:rsid w:val="00D23947"/>
    <w:rsid w:val="00D2397E"/>
    <w:rsid w:val="00D23A2C"/>
    <w:rsid w:val="00D241E7"/>
    <w:rsid w:val="00D24412"/>
    <w:rsid w:val="00D24ABF"/>
    <w:rsid w:val="00D24B54"/>
    <w:rsid w:val="00D24B81"/>
    <w:rsid w:val="00D250FC"/>
    <w:rsid w:val="00D25447"/>
    <w:rsid w:val="00D2592D"/>
    <w:rsid w:val="00D25C2C"/>
    <w:rsid w:val="00D25E44"/>
    <w:rsid w:val="00D25EA3"/>
    <w:rsid w:val="00D25F51"/>
    <w:rsid w:val="00D26077"/>
    <w:rsid w:val="00D2623D"/>
    <w:rsid w:val="00D262E6"/>
    <w:rsid w:val="00D262EB"/>
    <w:rsid w:val="00D26420"/>
    <w:rsid w:val="00D26462"/>
    <w:rsid w:val="00D26C86"/>
    <w:rsid w:val="00D27030"/>
    <w:rsid w:val="00D27733"/>
    <w:rsid w:val="00D27984"/>
    <w:rsid w:val="00D3006A"/>
    <w:rsid w:val="00D300C4"/>
    <w:rsid w:val="00D301FE"/>
    <w:rsid w:val="00D30621"/>
    <w:rsid w:val="00D30678"/>
    <w:rsid w:val="00D30721"/>
    <w:rsid w:val="00D30C10"/>
    <w:rsid w:val="00D30D06"/>
    <w:rsid w:val="00D30EA4"/>
    <w:rsid w:val="00D30FCB"/>
    <w:rsid w:val="00D3141F"/>
    <w:rsid w:val="00D31702"/>
    <w:rsid w:val="00D31BFA"/>
    <w:rsid w:val="00D3204C"/>
    <w:rsid w:val="00D321E2"/>
    <w:rsid w:val="00D32235"/>
    <w:rsid w:val="00D323FA"/>
    <w:rsid w:val="00D3280C"/>
    <w:rsid w:val="00D336C0"/>
    <w:rsid w:val="00D339CF"/>
    <w:rsid w:val="00D33A49"/>
    <w:rsid w:val="00D33BD1"/>
    <w:rsid w:val="00D341FA"/>
    <w:rsid w:val="00D34228"/>
    <w:rsid w:val="00D3429F"/>
    <w:rsid w:val="00D34377"/>
    <w:rsid w:val="00D34640"/>
    <w:rsid w:val="00D34671"/>
    <w:rsid w:val="00D3470D"/>
    <w:rsid w:val="00D3476E"/>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934"/>
    <w:rsid w:val="00D37C06"/>
    <w:rsid w:val="00D37CF2"/>
    <w:rsid w:val="00D4005A"/>
    <w:rsid w:val="00D4020B"/>
    <w:rsid w:val="00D40279"/>
    <w:rsid w:val="00D40577"/>
    <w:rsid w:val="00D405ED"/>
    <w:rsid w:val="00D40B79"/>
    <w:rsid w:val="00D40BCB"/>
    <w:rsid w:val="00D40C37"/>
    <w:rsid w:val="00D40C88"/>
    <w:rsid w:val="00D40F03"/>
    <w:rsid w:val="00D40F0A"/>
    <w:rsid w:val="00D41123"/>
    <w:rsid w:val="00D412FB"/>
    <w:rsid w:val="00D41AAF"/>
    <w:rsid w:val="00D41B87"/>
    <w:rsid w:val="00D41F47"/>
    <w:rsid w:val="00D42123"/>
    <w:rsid w:val="00D4225E"/>
    <w:rsid w:val="00D4241D"/>
    <w:rsid w:val="00D4247C"/>
    <w:rsid w:val="00D426DA"/>
    <w:rsid w:val="00D427D1"/>
    <w:rsid w:val="00D42A17"/>
    <w:rsid w:val="00D42A1E"/>
    <w:rsid w:val="00D42C70"/>
    <w:rsid w:val="00D43A93"/>
    <w:rsid w:val="00D43B74"/>
    <w:rsid w:val="00D43D45"/>
    <w:rsid w:val="00D43F8B"/>
    <w:rsid w:val="00D44DF3"/>
    <w:rsid w:val="00D44E08"/>
    <w:rsid w:val="00D451B1"/>
    <w:rsid w:val="00D458B1"/>
    <w:rsid w:val="00D459A1"/>
    <w:rsid w:val="00D45A5F"/>
    <w:rsid w:val="00D45CBC"/>
    <w:rsid w:val="00D4636A"/>
    <w:rsid w:val="00D4695B"/>
    <w:rsid w:val="00D46A0D"/>
    <w:rsid w:val="00D46DDF"/>
    <w:rsid w:val="00D46FA8"/>
    <w:rsid w:val="00D470DE"/>
    <w:rsid w:val="00D47194"/>
    <w:rsid w:val="00D47502"/>
    <w:rsid w:val="00D476C4"/>
    <w:rsid w:val="00D478DE"/>
    <w:rsid w:val="00D47B45"/>
    <w:rsid w:val="00D50191"/>
    <w:rsid w:val="00D50291"/>
    <w:rsid w:val="00D502F7"/>
    <w:rsid w:val="00D5044D"/>
    <w:rsid w:val="00D50477"/>
    <w:rsid w:val="00D50499"/>
    <w:rsid w:val="00D5082A"/>
    <w:rsid w:val="00D509AE"/>
    <w:rsid w:val="00D50A97"/>
    <w:rsid w:val="00D50BB8"/>
    <w:rsid w:val="00D50BC7"/>
    <w:rsid w:val="00D50E61"/>
    <w:rsid w:val="00D50E85"/>
    <w:rsid w:val="00D50FA7"/>
    <w:rsid w:val="00D515FD"/>
    <w:rsid w:val="00D51674"/>
    <w:rsid w:val="00D51E9E"/>
    <w:rsid w:val="00D51FE1"/>
    <w:rsid w:val="00D52088"/>
    <w:rsid w:val="00D52250"/>
    <w:rsid w:val="00D52306"/>
    <w:rsid w:val="00D527DD"/>
    <w:rsid w:val="00D52C5C"/>
    <w:rsid w:val="00D52DE0"/>
    <w:rsid w:val="00D52E61"/>
    <w:rsid w:val="00D530A4"/>
    <w:rsid w:val="00D533A4"/>
    <w:rsid w:val="00D533AB"/>
    <w:rsid w:val="00D538D8"/>
    <w:rsid w:val="00D5398F"/>
    <w:rsid w:val="00D53A8D"/>
    <w:rsid w:val="00D53FBF"/>
    <w:rsid w:val="00D54117"/>
    <w:rsid w:val="00D5434B"/>
    <w:rsid w:val="00D54453"/>
    <w:rsid w:val="00D54736"/>
    <w:rsid w:val="00D54860"/>
    <w:rsid w:val="00D54874"/>
    <w:rsid w:val="00D54B7B"/>
    <w:rsid w:val="00D54D90"/>
    <w:rsid w:val="00D54DF0"/>
    <w:rsid w:val="00D54E1C"/>
    <w:rsid w:val="00D54FD8"/>
    <w:rsid w:val="00D550A3"/>
    <w:rsid w:val="00D551B6"/>
    <w:rsid w:val="00D553A9"/>
    <w:rsid w:val="00D557E6"/>
    <w:rsid w:val="00D558DA"/>
    <w:rsid w:val="00D55A1A"/>
    <w:rsid w:val="00D55B47"/>
    <w:rsid w:val="00D55D76"/>
    <w:rsid w:val="00D56018"/>
    <w:rsid w:val="00D5620C"/>
    <w:rsid w:val="00D5629B"/>
    <w:rsid w:val="00D56352"/>
    <w:rsid w:val="00D56E71"/>
    <w:rsid w:val="00D57064"/>
    <w:rsid w:val="00D5724C"/>
    <w:rsid w:val="00D57409"/>
    <w:rsid w:val="00D57452"/>
    <w:rsid w:val="00D575F8"/>
    <w:rsid w:val="00D57978"/>
    <w:rsid w:val="00D57A18"/>
    <w:rsid w:val="00D57BB2"/>
    <w:rsid w:val="00D57F26"/>
    <w:rsid w:val="00D600FC"/>
    <w:rsid w:val="00D604B4"/>
    <w:rsid w:val="00D6052E"/>
    <w:rsid w:val="00D606B1"/>
    <w:rsid w:val="00D60736"/>
    <w:rsid w:val="00D609C0"/>
    <w:rsid w:val="00D60B80"/>
    <w:rsid w:val="00D60DD6"/>
    <w:rsid w:val="00D616BD"/>
    <w:rsid w:val="00D617B5"/>
    <w:rsid w:val="00D618FB"/>
    <w:rsid w:val="00D6198A"/>
    <w:rsid w:val="00D6217D"/>
    <w:rsid w:val="00D622C0"/>
    <w:rsid w:val="00D62402"/>
    <w:rsid w:val="00D62475"/>
    <w:rsid w:val="00D625AB"/>
    <w:rsid w:val="00D626DB"/>
    <w:rsid w:val="00D629B0"/>
    <w:rsid w:val="00D629E6"/>
    <w:rsid w:val="00D62A23"/>
    <w:rsid w:val="00D62A9D"/>
    <w:rsid w:val="00D62DB5"/>
    <w:rsid w:val="00D631AD"/>
    <w:rsid w:val="00D6365A"/>
    <w:rsid w:val="00D63866"/>
    <w:rsid w:val="00D6394D"/>
    <w:rsid w:val="00D639DC"/>
    <w:rsid w:val="00D63ACC"/>
    <w:rsid w:val="00D63B77"/>
    <w:rsid w:val="00D6406C"/>
    <w:rsid w:val="00D64096"/>
    <w:rsid w:val="00D644A4"/>
    <w:rsid w:val="00D644C4"/>
    <w:rsid w:val="00D6457E"/>
    <w:rsid w:val="00D64632"/>
    <w:rsid w:val="00D6471E"/>
    <w:rsid w:val="00D648AC"/>
    <w:rsid w:val="00D64B1D"/>
    <w:rsid w:val="00D6524B"/>
    <w:rsid w:val="00D65BA0"/>
    <w:rsid w:val="00D65C4E"/>
    <w:rsid w:val="00D65DD2"/>
    <w:rsid w:val="00D65ED7"/>
    <w:rsid w:val="00D66330"/>
    <w:rsid w:val="00D66449"/>
    <w:rsid w:val="00D666BD"/>
    <w:rsid w:val="00D668B4"/>
    <w:rsid w:val="00D668E5"/>
    <w:rsid w:val="00D67071"/>
    <w:rsid w:val="00D672D1"/>
    <w:rsid w:val="00D70471"/>
    <w:rsid w:val="00D704E9"/>
    <w:rsid w:val="00D71010"/>
    <w:rsid w:val="00D7101C"/>
    <w:rsid w:val="00D710C9"/>
    <w:rsid w:val="00D71296"/>
    <w:rsid w:val="00D7132C"/>
    <w:rsid w:val="00D71780"/>
    <w:rsid w:val="00D71828"/>
    <w:rsid w:val="00D71A77"/>
    <w:rsid w:val="00D71D49"/>
    <w:rsid w:val="00D723D0"/>
    <w:rsid w:val="00D72573"/>
    <w:rsid w:val="00D7258C"/>
    <w:rsid w:val="00D7266A"/>
    <w:rsid w:val="00D72741"/>
    <w:rsid w:val="00D7276D"/>
    <w:rsid w:val="00D72E82"/>
    <w:rsid w:val="00D72F05"/>
    <w:rsid w:val="00D73179"/>
    <w:rsid w:val="00D7362F"/>
    <w:rsid w:val="00D736F4"/>
    <w:rsid w:val="00D73721"/>
    <w:rsid w:val="00D7379A"/>
    <w:rsid w:val="00D73838"/>
    <w:rsid w:val="00D73A7B"/>
    <w:rsid w:val="00D73A80"/>
    <w:rsid w:val="00D73BBE"/>
    <w:rsid w:val="00D73F21"/>
    <w:rsid w:val="00D73FE9"/>
    <w:rsid w:val="00D741AA"/>
    <w:rsid w:val="00D741C0"/>
    <w:rsid w:val="00D744B9"/>
    <w:rsid w:val="00D74604"/>
    <w:rsid w:val="00D74BBD"/>
    <w:rsid w:val="00D74CFE"/>
    <w:rsid w:val="00D75056"/>
    <w:rsid w:val="00D750A0"/>
    <w:rsid w:val="00D7581F"/>
    <w:rsid w:val="00D75C3A"/>
    <w:rsid w:val="00D75F46"/>
    <w:rsid w:val="00D7629A"/>
    <w:rsid w:val="00D76768"/>
    <w:rsid w:val="00D767B2"/>
    <w:rsid w:val="00D767E9"/>
    <w:rsid w:val="00D76B5A"/>
    <w:rsid w:val="00D76C71"/>
    <w:rsid w:val="00D7728D"/>
    <w:rsid w:val="00D7778C"/>
    <w:rsid w:val="00D777C4"/>
    <w:rsid w:val="00D7785D"/>
    <w:rsid w:val="00D77E8D"/>
    <w:rsid w:val="00D77F2F"/>
    <w:rsid w:val="00D804E7"/>
    <w:rsid w:val="00D804F1"/>
    <w:rsid w:val="00D80530"/>
    <w:rsid w:val="00D80A50"/>
    <w:rsid w:val="00D81113"/>
    <w:rsid w:val="00D81453"/>
    <w:rsid w:val="00D81697"/>
    <w:rsid w:val="00D816A0"/>
    <w:rsid w:val="00D818BF"/>
    <w:rsid w:val="00D81FEB"/>
    <w:rsid w:val="00D8208C"/>
    <w:rsid w:val="00D82327"/>
    <w:rsid w:val="00D825BB"/>
    <w:rsid w:val="00D82966"/>
    <w:rsid w:val="00D82C04"/>
    <w:rsid w:val="00D830B3"/>
    <w:rsid w:val="00D8321E"/>
    <w:rsid w:val="00D83281"/>
    <w:rsid w:val="00D835A5"/>
    <w:rsid w:val="00D835DF"/>
    <w:rsid w:val="00D8365D"/>
    <w:rsid w:val="00D83706"/>
    <w:rsid w:val="00D83775"/>
    <w:rsid w:val="00D8379C"/>
    <w:rsid w:val="00D83AAE"/>
    <w:rsid w:val="00D83D63"/>
    <w:rsid w:val="00D83FB3"/>
    <w:rsid w:val="00D8426B"/>
    <w:rsid w:val="00D8439F"/>
    <w:rsid w:val="00D84868"/>
    <w:rsid w:val="00D84B38"/>
    <w:rsid w:val="00D84B70"/>
    <w:rsid w:val="00D84BB5"/>
    <w:rsid w:val="00D8543E"/>
    <w:rsid w:val="00D855EA"/>
    <w:rsid w:val="00D85A5F"/>
    <w:rsid w:val="00D85B35"/>
    <w:rsid w:val="00D86659"/>
    <w:rsid w:val="00D8692A"/>
    <w:rsid w:val="00D86970"/>
    <w:rsid w:val="00D86D30"/>
    <w:rsid w:val="00D870BB"/>
    <w:rsid w:val="00D87395"/>
    <w:rsid w:val="00D873C7"/>
    <w:rsid w:val="00D8759F"/>
    <w:rsid w:val="00D87819"/>
    <w:rsid w:val="00D878C1"/>
    <w:rsid w:val="00D87AF1"/>
    <w:rsid w:val="00D87DD7"/>
    <w:rsid w:val="00D90085"/>
    <w:rsid w:val="00D9018A"/>
    <w:rsid w:val="00D90413"/>
    <w:rsid w:val="00D90614"/>
    <w:rsid w:val="00D90B77"/>
    <w:rsid w:val="00D90BE1"/>
    <w:rsid w:val="00D90E00"/>
    <w:rsid w:val="00D913E3"/>
    <w:rsid w:val="00D913F7"/>
    <w:rsid w:val="00D914F2"/>
    <w:rsid w:val="00D91529"/>
    <w:rsid w:val="00D917D5"/>
    <w:rsid w:val="00D91B6B"/>
    <w:rsid w:val="00D91D15"/>
    <w:rsid w:val="00D91DF1"/>
    <w:rsid w:val="00D91E45"/>
    <w:rsid w:val="00D91E84"/>
    <w:rsid w:val="00D91E97"/>
    <w:rsid w:val="00D91F3F"/>
    <w:rsid w:val="00D91FAB"/>
    <w:rsid w:val="00D9280B"/>
    <w:rsid w:val="00D9285A"/>
    <w:rsid w:val="00D9302D"/>
    <w:rsid w:val="00D930FD"/>
    <w:rsid w:val="00D932E6"/>
    <w:rsid w:val="00D9334A"/>
    <w:rsid w:val="00D935D1"/>
    <w:rsid w:val="00D93687"/>
    <w:rsid w:val="00D9377C"/>
    <w:rsid w:val="00D93ED6"/>
    <w:rsid w:val="00D9404A"/>
    <w:rsid w:val="00D941E7"/>
    <w:rsid w:val="00D944D8"/>
    <w:rsid w:val="00D945F0"/>
    <w:rsid w:val="00D94B95"/>
    <w:rsid w:val="00D94BBA"/>
    <w:rsid w:val="00D94BCC"/>
    <w:rsid w:val="00D94BD7"/>
    <w:rsid w:val="00D94C9F"/>
    <w:rsid w:val="00D94FE4"/>
    <w:rsid w:val="00D9515D"/>
    <w:rsid w:val="00D95161"/>
    <w:rsid w:val="00D95379"/>
    <w:rsid w:val="00D95439"/>
    <w:rsid w:val="00D9578B"/>
    <w:rsid w:val="00D95A81"/>
    <w:rsid w:val="00D960FE"/>
    <w:rsid w:val="00D964B1"/>
    <w:rsid w:val="00D96514"/>
    <w:rsid w:val="00D965BF"/>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468"/>
    <w:rsid w:val="00DA04FC"/>
    <w:rsid w:val="00DA0599"/>
    <w:rsid w:val="00DA0616"/>
    <w:rsid w:val="00DA0B15"/>
    <w:rsid w:val="00DA0BC7"/>
    <w:rsid w:val="00DA1AB7"/>
    <w:rsid w:val="00DA2079"/>
    <w:rsid w:val="00DA2153"/>
    <w:rsid w:val="00DA2156"/>
    <w:rsid w:val="00DA23A1"/>
    <w:rsid w:val="00DA2508"/>
    <w:rsid w:val="00DA272C"/>
    <w:rsid w:val="00DA281F"/>
    <w:rsid w:val="00DA2953"/>
    <w:rsid w:val="00DA2A11"/>
    <w:rsid w:val="00DA3AAA"/>
    <w:rsid w:val="00DA3D27"/>
    <w:rsid w:val="00DA436F"/>
    <w:rsid w:val="00DA469B"/>
    <w:rsid w:val="00DA4743"/>
    <w:rsid w:val="00DA4C81"/>
    <w:rsid w:val="00DA4F97"/>
    <w:rsid w:val="00DA5423"/>
    <w:rsid w:val="00DA5508"/>
    <w:rsid w:val="00DA5661"/>
    <w:rsid w:val="00DA5B04"/>
    <w:rsid w:val="00DA5B14"/>
    <w:rsid w:val="00DA5BC7"/>
    <w:rsid w:val="00DA6246"/>
    <w:rsid w:val="00DA66C8"/>
    <w:rsid w:val="00DA68F4"/>
    <w:rsid w:val="00DA68FC"/>
    <w:rsid w:val="00DA6B76"/>
    <w:rsid w:val="00DA6B97"/>
    <w:rsid w:val="00DA6CD7"/>
    <w:rsid w:val="00DA6DAD"/>
    <w:rsid w:val="00DA6E8E"/>
    <w:rsid w:val="00DA7035"/>
    <w:rsid w:val="00DA735A"/>
    <w:rsid w:val="00DA75C5"/>
    <w:rsid w:val="00DA77CB"/>
    <w:rsid w:val="00DA7845"/>
    <w:rsid w:val="00DB01FC"/>
    <w:rsid w:val="00DB022C"/>
    <w:rsid w:val="00DB0258"/>
    <w:rsid w:val="00DB031E"/>
    <w:rsid w:val="00DB058A"/>
    <w:rsid w:val="00DB05F7"/>
    <w:rsid w:val="00DB0BB7"/>
    <w:rsid w:val="00DB0E48"/>
    <w:rsid w:val="00DB16C9"/>
    <w:rsid w:val="00DB16E7"/>
    <w:rsid w:val="00DB17A5"/>
    <w:rsid w:val="00DB1956"/>
    <w:rsid w:val="00DB19D2"/>
    <w:rsid w:val="00DB1F34"/>
    <w:rsid w:val="00DB2265"/>
    <w:rsid w:val="00DB22CC"/>
    <w:rsid w:val="00DB28F0"/>
    <w:rsid w:val="00DB2AE1"/>
    <w:rsid w:val="00DB30BB"/>
    <w:rsid w:val="00DB31D8"/>
    <w:rsid w:val="00DB325C"/>
    <w:rsid w:val="00DB33A4"/>
    <w:rsid w:val="00DB33BD"/>
    <w:rsid w:val="00DB3411"/>
    <w:rsid w:val="00DB373F"/>
    <w:rsid w:val="00DB385F"/>
    <w:rsid w:val="00DB3A98"/>
    <w:rsid w:val="00DB3D7E"/>
    <w:rsid w:val="00DB43E6"/>
    <w:rsid w:val="00DB4C27"/>
    <w:rsid w:val="00DB4D8F"/>
    <w:rsid w:val="00DB5181"/>
    <w:rsid w:val="00DB521E"/>
    <w:rsid w:val="00DB52BA"/>
    <w:rsid w:val="00DB52F1"/>
    <w:rsid w:val="00DB5946"/>
    <w:rsid w:val="00DB5B86"/>
    <w:rsid w:val="00DB5C2E"/>
    <w:rsid w:val="00DB5EE5"/>
    <w:rsid w:val="00DB5FF2"/>
    <w:rsid w:val="00DB608B"/>
    <w:rsid w:val="00DB60BD"/>
    <w:rsid w:val="00DB60CD"/>
    <w:rsid w:val="00DB6100"/>
    <w:rsid w:val="00DB613E"/>
    <w:rsid w:val="00DB627A"/>
    <w:rsid w:val="00DB6337"/>
    <w:rsid w:val="00DB6426"/>
    <w:rsid w:val="00DB6524"/>
    <w:rsid w:val="00DB66A9"/>
    <w:rsid w:val="00DB6714"/>
    <w:rsid w:val="00DB6879"/>
    <w:rsid w:val="00DB6965"/>
    <w:rsid w:val="00DB69B3"/>
    <w:rsid w:val="00DB6DEA"/>
    <w:rsid w:val="00DB6FB8"/>
    <w:rsid w:val="00DB717E"/>
    <w:rsid w:val="00DB77BB"/>
    <w:rsid w:val="00DB78C1"/>
    <w:rsid w:val="00DB7D35"/>
    <w:rsid w:val="00DB7D5B"/>
    <w:rsid w:val="00DB7E0B"/>
    <w:rsid w:val="00DC0279"/>
    <w:rsid w:val="00DC0400"/>
    <w:rsid w:val="00DC0482"/>
    <w:rsid w:val="00DC06C4"/>
    <w:rsid w:val="00DC0964"/>
    <w:rsid w:val="00DC0A4E"/>
    <w:rsid w:val="00DC0F82"/>
    <w:rsid w:val="00DC12BF"/>
    <w:rsid w:val="00DC1700"/>
    <w:rsid w:val="00DC1C5F"/>
    <w:rsid w:val="00DC243A"/>
    <w:rsid w:val="00DC27F9"/>
    <w:rsid w:val="00DC2AF3"/>
    <w:rsid w:val="00DC2E16"/>
    <w:rsid w:val="00DC2ED2"/>
    <w:rsid w:val="00DC2EDE"/>
    <w:rsid w:val="00DC302C"/>
    <w:rsid w:val="00DC3665"/>
    <w:rsid w:val="00DC3747"/>
    <w:rsid w:val="00DC37CE"/>
    <w:rsid w:val="00DC3A9A"/>
    <w:rsid w:val="00DC3AE1"/>
    <w:rsid w:val="00DC3CCB"/>
    <w:rsid w:val="00DC3F64"/>
    <w:rsid w:val="00DC3FB7"/>
    <w:rsid w:val="00DC424C"/>
    <w:rsid w:val="00DC4691"/>
    <w:rsid w:val="00DC4783"/>
    <w:rsid w:val="00DC4907"/>
    <w:rsid w:val="00DC4BB8"/>
    <w:rsid w:val="00DC4C3E"/>
    <w:rsid w:val="00DC4CE8"/>
    <w:rsid w:val="00DC4DFF"/>
    <w:rsid w:val="00DC5081"/>
    <w:rsid w:val="00DC50CC"/>
    <w:rsid w:val="00DC51D6"/>
    <w:rsid w:val="00DC55CD"/>
    <w:rsid w:val="00DC5CA3"/>
    <w:rsid w:val="00DC5DB3"/>
    <w:rsid w:val="00DC6141"/>
    <w:rsid w:val="00DC6262"/>
    <w:rsid w:val="00DC681C"/>
    <w:rsid w:val="00DC6FCE"/>
    <w:rsid w:val="00DC7271"/>
    <w:rsid w:val="00DC729C"/>
    <w:rsid w:val="00DC787D"/>
    <w:rsid w:val="00DD0106"/>
    <w:rsid w:val="00DD01C8"/>
    <w:rsid w:val="00DD08CE"/>
    <w:rsid w:val="00DD08F6"/>
    <w:rsid w:val="00DD0B0D"/>
    <w:rsid w:val="00DD0BE2"/>
    <w:rsid w:val="00DD1110"/>
    <w:rsid w:val="00DD1265"/>
    <w:rsid w:val="00DD1290"/>
    <w:rsid w:val="00DD12FC"/>
    <w:rsid w:val="00DD185D"/>
    <w:rsid w:val="00DD1977"/>
    <w:rsid w:val="00DD1ABB"/>
    <w:rsid w:val="00DD1C14"/>
    <w:rsid w:val="00DD1EA8"/>
    <w:rsid w:val="00DD1F39"/>
    <w:rsid w:val="00DD1F8F"/>
    <w:rsid w:val="00DD2197"/>
    <w:rsid w:val="00DD226B"/>
    <w:rsid w:val="00DD25B4"/>
    <w:rsid w:val="00DD2CA5"/>
    <w:rsid w:val="00DD3471"/>
    <w:rsid w:val="00DD3535"/>
    <w:rsid w:val="00DD396E"/>
    <w:rsid w:val="00DD3A10"/>
    <w:rsid w:val="00DD3F47"/>
    <w:rsid w:val="00DD404A"/>
    <w:rsid w:val="00DD40C2"/>
    <w:rsid w:val="00DD474B"/>
    <w:rsid w:val="00DD4759"/>
    <w:rsid w:val="00DD4907"/>
    <w:rsid w:val="00DD4A3D"/>
    <w:rsid w:val="00DD4A99"/>
    <w:rsid w:val="00DD50C2"/>
    <w:rsid w:val="00DD52E6"/>
    <w:rsid w:val="00DD54AB"/>
    <w:rsid w:val="00DD5851"/>
    <w:rsid w:val="00DD5946"/>
    <w:rsid w:val="00DD5C09"/>
    <w:rsid w:val="00DD613F"/>
    <w:rsid w:val="00DD6479"/>
    <w:rsid w:val="00DD6657"/>
    <w:rsid w:val="00DD681D"/>
    <w:rsid w:val="00DD6D3F"/>
    <w:rsid w:val="00DD7183"/>
    <w:rsid w:val="00DD72F4"/>
    <w:rsid w:val="00DD7388"/>
    <w:rsid w:val="00DD75B7"/>
    <w:rsid w:val="00DD7606"/>
    <w:rsid w:val="00DD77E5"/>
    <w:rsid w:val="00DD7C1B"/>
    <w:rsid w:val="00DD7C77"/>
    <w:rsid w:val="00DE0040"/>
    <w:rsid w:val="00DE03AC"/>
    <w:rsid w:val="00DE0B7C"/>
    <w:rsid w:val="00DE114C"/>
    <w:rsid w:val="00DE1521"/>
    <w:rsid w:val="00DE18A4"/>
    <w:rsid w:val="00DE1A85"/>
    <w:rsid w:val="00DE1B7F"/>
    <w:rsid w:val="00DE1E24"/>
    <w:rsid w:val="00DE1FF5"/>
    <w:rsid w:val="00DE2130"/>
    <w:rsid w:val="00DE2263"/>
    <w:rsid w:val="00DE238E"/>
    <w:rsid w:val="00DE2775"/>
    <w:rsid w:val="00DE2BE0"/>
    <w:rsid w:val="00DE2C22"/>
    <w:rsid w:val="00DE2C9B"/>
    <w:rsid w:val="00DE2DA2"/>
    <w:rsid w:val="00DE2DE1"/>
    <w:rsid w:val="00DE2DF9"/>
    <w:rsid w:val="00DE3114"/>
    <w:rsid w:val="00DE3198"/>
    <w:rsid w:val="00DE31F3"/>
    <w:rsid w:val="00DE3259"/>
    <w:rsid w:val="00DE33D0"/>
    <w:rsid w:val="00DE345B"/>
    <w:rsid w:val="00DE34A3"/>
    <w:rsid w:val="00DE3554"/>
    <w:rsid w:val="00DE3794"/>
    <w:rsid w:val="00DE381D"/>
    <w:rsid w:val="00DE3824"/>
    <w:rsid w:val="00DE38C2"/>
    <w:rsid w:val="00DE3A13"/>
    <w:rsid w:val="00DE407D"/>
    <w:rsid w:val="00DE435A"/>
    <w:rsid w:val="00DE494A"/>
    <w:rsid w:val="00DE4C8B"/>
    <w:rsid w:val="00DE4DC5"/>
    <w:rsid w:val="00DE4EDE"/>
    <w:rsid w:val="00DE505F"/>
    <w:rsid w:val="00DE506C"/>
    <w:rsid w:val="00DE5257"/>
    <w:rsid w:val="00DE54FE"/>
    <w:rsid w:val="00DE5818"/>
    <w:rsid w:val="00DE58DB"/>
    <w:rsid w:val="00DE58FA"/>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95A"/>
    <w:rsid w:val="00DF1D57"/>
    <w:rsid w:val="00DF1D5C"/>
    <w:rsid w:val="00DF1E0C"/>
    <w:rsid w:val="00DF20A4"/>
    <w:rsid w:val="00DF2179"/>
    <w:rsid w:val="00DF22BA"/>
    <w:rsid w:val="00DF2339"/>
    <w:rsid w:val="00DF2461"/>
    <w:rsid w:val="00DF2557"/>
    <w:rsid w:val="00DF294D"/>
    <w:rsid w:val="00DF3117"/>
    <w:rsid w:val="00DF3C08"/>
    <w:rsid w:val="00DF3C33"/>
    <w:rsid w:val="00DF3FFE"/>
    <w:rsid w:val="00DF41C6"/>
    <w:rsid w:val="00DF41EB"/>
    <w:rsid w:val="00DF44D9"/>
    <w:rsid w:val="00DF4539"/>
    <w:rsid w:val="00DF47AC"/>
    <w:rsid w:val="00DF494C"/>
    <w:rsid w:val="00DF4C72"/>
    <w:rsid w:val="00DF4D04"/>
    <w:rsid w:val="00DF56E0"/>
    <w:rsid w:val="00DF5851"/>
    <w:rsid w:val="00DF5A7A"/>
    <w:rsid w:val="00DF5D3C"/>
    <w:rsid w:val="00DF5D7E"/>
    <w:rsid w:val="00DF641A"/>
    <w:rsid w:val="00DF6464"/>
    <w:rsid w:val="00DF678A"/>
    <w:rsid w:val="00DF6CD5"/>
    <w:rsid w:val="00DF6D44"/>
    <w:rsid w:val="00DF7284"/>
    <w:rsid w:val="00DF72D4"/>
    <w:rsid w:val="00DF7338"/>
    <w:rsid w:val="00DF736D"/>
    <w:rsid w:val="00DF7863"/>
    <w:rsid w:val="00DF7994"/>
    <w:rsid w:val="00DF7A42"/>
    <w:rsid w:val="00E0003A"/>
    <w:rsid w:val="00E00186"/>
    <w:rsid w:val="00E0027A"/>
    <w:rsid w:val="00E00468"/>
    <w:rsid w:val="00E00933"/>
    <w:rsid w:val="00E00A40"/>
    <w:rsid w:val="00E00DBA"/>
    <w:rsid w:val="00E00E1B"/>
    <w:rsid w:val="00E00ED0"/>
    <w:rsid w:val="00E0129D"/>
    <w:rsid w:val="00E015EC"/>
    <w:rsid w:val="00E018BF"/>
    <w:rsid w:val="00E018F4"/>
    <w:rsid w:val="00E01AD5"/>
    <w:rsid w:val="00E01B37"/>
    <w:rsid w:val="00E0211C"/>
    <w:rsid w:val="00E02230"/>
    <w:rsid w:val="00E0288C"/>
    <w:rsid w:val="00E028BF"/>
    <w:rsid w:val="00E02A0D"/>
    <w:rsid w:val="00E03183"/>
    <w:rsid w:val="00E037EA"/>
    <w:rsid w:val="00E03E77"/>
    <w:rsid w:val="00E03ED2"/>
    <w:rsid w:val="00E03F0D"/>
    <w:rsid w:val="00E0416E"/>
    <w:rsid w:val="00E04208"/>
    <w:rsid w:val="00E04365"/>
    <w:rsid w:val="00E044A9"/>
    <w:rsid w:val="00E04524"/>
    <w:rsid w:val="00E04A32"/>
    <w:rsid w:val="00E04FAF"/>
    <w:rsid w:val="00E051F3"/>
    <w:rsid w:val="00E055DC"/>
    <w:rsid w:val="00E05A2C"/>
    <w:rsid w:val="00E05C2C"/>
    <w:rsid w:val="00E05C88"/>
    <w:rsid w:val="00E05E44"/>
    <w:rsid w:val="00E0643C"/>
    <w:rsid w:val="00E06726"/>
    <w:rsid w:val="00E067AC"/>
    <w:rsid w:val="00E06C3F"/>
    <w:rsid w:val="00E06CAD"/>
    <w:rsid w:val="00E06D08"/>
    <w:rsid w:val="00E06FAA"/>
    <w:rsid w:val="00E07053"/>
    <w:rsid w:val="00E07125"/>
    <w:rsid w:val="00E072A4"/>
    <w:rsid w:val="00E07391"/>
    <w:rsid w:val="00E0764B"/>
    <w:rsid w:val="00E07A45"/>
    <w:rsid w:val="00E07B0F"/>
    <w:rsid w:val="00E07D3D"/>
    <w:rsid w:val="00E100BC"/>
    <w:rsid w:val="00E1021A"/>
    <w:rsid w:val="00E1035C"/>
    <w:rsid w:val="00E10540"/>
    <w:rsid w:val="00E107EA"/>
    <w:rsid w:val="00E1100B"/>
    <w:rsid w:val="00E11524"/>
    <w:rsid w:val="00E11764"/>
    <w:rsid w:val="00E11773"/>
    <w:rsid w:val="00E117A9"/>
    <w:rsid w:val="00E117D8"/>
    <w:rsid w:val="00E11AC1"/>
    <w:rsid w:val="00E11ACF"/>
    <w:rsid w:val="00E126FB"/>
    <w:rsid w:val="00E12895"/>
    <w:rsid w:val="00E128C5"/>
    <w:rsid w:val="00E12BFA"/>
    <w:rsid w:val="00E12EF5"/>
    <w:rsid w:val="00E13282"/>
    <w:rsid w:val="00E13342"/>
    <w:rsid w:val="00E13346"/>
    <w:rsid w:val="00E1344A"/>
    <w:rsid w:val="00E1398C"/>
    <w:rsid w:val="00E13D3F"/>
    <w:rsid w:val="00E13E42"/>
    <w:rsid w:val="00E140E5"/>
    <w:rsid w:val="00E142ED"/>
    <w:rsid w:val="00E1431E"/>
    <w:rsid w:val="00E1449D"/>
    <w:rsid w:val="00E144D2"/>
    <w:rsid w:val="00E145F0"/>
    <w:rsid w:val="00E1462C"/>
    <w:rsid w:val="00E14A39"/>
    <w:rsid w:val="00E14FC4"/>
    <w:rsid w:val="00E15693"/>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891"/>
    <w:rsid w:val="00E17B58"/>
    <w:rsid w:val="00E17CAF"/>
    <w:rsid w:val="00E17D86"/>
    <w:rsid w:val="00E17EBF"/>
    <w:rsid w:val="00E2023A"/>
    <w:rsid w:val="00E208F7"/>
    <w:rsid w:val="00E209C8"/>
    <w:rsid w:val="00E20C69"/>
    <w:rsid w:val="00E20CB4"/>
    <w:rsid w:val="00E2134B"/>
    <w:rsid w:val="00E2156B"/>
    <w:rsid w:val="00E2169B"/>
    <w:rsid w:val="00E2169F"/>
    <w:rsid w:val="00E2191F"/>
    <w:rsid w:val="00E21F78"/>
    <w:rsid w:val="00E2201E"/>
    <w:rsid w:val="00E223B2"/>
    <w:rsid w:val="00E22699"/>
    <w:rsid w:val="00E22B72"/>
    <w:rsid w:val="00E22F7E"/>
    <w:rsid w:val="00E23040"/>
    <w:rsid w:val="00E232AA"/>
    <w:rsid w:val="00E23585"/>
    <w:rsid w:val="00E23BC9"/>
    <w:rsid w:val="00E23EB0"/>
    <w:rsid w:val="00E24176"/>
    <w:rsid w:val="00E244B5"/>
    <w:rsid w:val="00E24550"/>
    <w:rsid w:val="00E2468F"/>
    <w:rsid w:val="00E2485E"/>
    <w:rsid w:val="00E2499B"/>
    <w:rsid w:val="00E24AB0"/>
    <w:rsid w:val="00E24FCA"/>
    <w:rsid w:val="00E25079"/>
    <w:rsid w:val="00E2584F"/>
    <w:rsid w:val="00E2597B"/>
    <w:rsid w:val="00E26117"/>
    <w:rsid w:val="00E26296"/>
    <w:rsid w:val="00E26ED4"/>
    <w:rsid w:val="00E26EFA"/>
    <w:rsid w:val="00E26F6D"/>
    <w:rsid w:val="00E27069"/>
    <w:rsid w:val="00E2707F"/>
    <w:rsid w:val="00E274DA"/>
    <w:rsid w:val="00E27517"/>
    <w:rsid w:val="00E27561"/>
    <w:rsid w:val="00E2759E"/>
    <w:rsid w:val="00E276FB"/>
    <w:rsid w:val="00E27E54"/>
    <w:rsid w:val="00E303CF"/>
    <w:rsid w:val="00E304F7"/>
    <w:rsid w:val="00E30634"/>
    <w:rsid w:val="00E30722"/>
    <w:rsid w:val="00E30788"/>
    <w:rsid w:val="00E3085E"/>
    <w:rsid w:val="00E30B18"/>
    <w:rsid w:val="00E30BE7"/>
    <w:rsid w:val="00E30CA6"/>
    <w:rsid w:val="00E30CB7"/>
    <w:rsid w:val="00E313CB"/>
    <w:rsid w:val="00E31431"/>
    <w:rsid w:val="00E3157F"/>
    <w:rsid w:val="00E315D5"/>
    <w:rsid w:val="00E31846"/>
    <w:rsid w:val="00E31F23"/>
    <w:rsid w:val="00E31FEF"/>
    <w:rsid w:val="00E320FB"/>
    <w:rsid w:val="00E3214C"/>
    <w:rsid w:val="00E32505"/>
    <w:rsid w:val="00E3294B"/>
    <w:rsid w:val="00E3298F"/>
    <w:rsid w:val="00E32C2E"/>
    <w:rsid w:val="00E330EE"/>
    <w:rsid w:val="00E334DE"/>
    <w:rsid w:val="00E3380E"/>
    <w:rsid w:val="00E3384B"/>
    <w:rsid w:val="00E33A70"/>
    <w:rsid w:val="00E33D39"/>
    <w:rsid w:val="00E34161"/>
    <w:rsid w:val="00E34172"/>
    <w:rsid w:val="00E34507"/>
    <w:rsid w:val="00E3459B"/>
    <w:rsid w:val="00E34738"/>
    <w:rsid w:val="00E349A1"/>
    <w:rsid w:val="00E34C14"/>
    <w:rsid w:val="00E34E78"/>
    <w:rsid w:val="00E34ECA"/>
    <w:rsid w:val="00E3501F"/>
    <w:rsid w:val="00E350A8"/>
    <w:rsid w:val="00E353F9"/>
    <w:rsid w:val="00E35654"/>
    <w:rsid w:val="00E35A6A"/>
    <w:rsid w:val="00E35D22"/>
    <w:rsid w:val="00E35FDC"/>
    <w:rsid w:val="00E364E6"/>
    <w:rsid w:val="00E3652E"/>
    <w:rsid w:val="00E36789"/>
    <w:rsid w:val="00E36B7D"/>
    <w:rsid w:val="00E36EB2"/>
    <w:rsid w:val="00E36F35"/>
    <w:rsid w:val="00E36FD3"/>
    <w:rsid w:val="00E371EE"/>
    <w:rsid w:val="00E3723B"/>
    <w:rsid w:val="00E37329"/>
    <w:rsid w:val="00E373C3"/>
    <w:rsid w:val="00E37608"/>
    <w:rsid w:val="00E3772C"/>
    <w:rsid w:val="00E37B73"/>
    <w:rsid w:val="00E37BFA"/>
    <w:rsid w:val="00E37DA8"/>
    <w:rsid w:val="00E402AD"/>
    <w:rsid w:val="00E402CA"/>
    <w:rsid w:val="00E40392"/>
    <w:rsid w:val="00E4042F"/>
    <w:rsid w:val="00E40ADF"/>
    <w:rsid w:val="00E40B7A"/>
    <w:rsid w:val="00E40C80"/>
    <w:rsid w:val="00E40E97"/>
    <w:rsid w:val="00E41263"/>
    <w:rsid w:val="00E412B9"/>
    <w:rsid w:val="00E41639"/>
    <w:rsid w:val="00E41ADC"/>
    <w:rsid w:val="00E41CAE"/>
    <w:rsid w:val="00E41D15"/>
    <w:rsid w:val="00E4252D"/>
    <w:rsid w:val="00E4254E"/>
    <w:rsid w:val="00E42671"/>
    <w:rsid w:val="00E4290D"/>
    <w:rsid w:val="00E42CBB"/>
    <w:rsid w:val="00E43079"/>
    <w:rsid w:val="00E435A3"/>
    <w:rsid w:val="00E43B0C"/>
    <w:rsid w:val="00E450DE"/>
    <w:rsid w:val="00E451E3"/>
    <w:rsid w:val="00E45217"/>
    <w:rsid w:val="00E453DF"/>
    <w:rsid w:val="00E4540A"/>
    <w:rsid w:val="00E4566C"/>
    <w:rsid w:val="00E45FDC"/>
    <w:rsid w:val="00E46558"/>
    <w:rsid w:val="00E46574"/>
    <w:rsid w:val="00E467D2"/>
    <w:rsid w:val="00E46A63"/>
    <w:rsid w:val="00E47076"/>
    <w:rsid w:val="00E473F2"/>
    <w:rsid w:val="00E47A0E"/>
    <w:rsid w:val="00E47D8B"/>
    <w:rsid w:val="00E47DC9"/>
    <w:rsid w:val="00E50721"/>
    <w:rsid w:val="00E50761"/>
    <w:rsid w:val="00E508E1"/>
    <w:rsid w:val="00E50B10"/>
    <w:rsid w:val="00E50DF2"/>
    <w:rsid w:val="00E50E67"/>
    <w:rsid w:val="00E51078"/>
    <w:rsid w:val="00E51418"/>
    <w:rsid w:val="00E5157D"/>
    <w:rsid w:val="00E51B97"/>
    <w:rsid w:val="00E51EAD"/>
    <w:rsid w:val="00E51F74"/>
    <w:rsid w:val="00E52112"/>
    <w:rsid w:val="00E522A9"/>
    <w:rsid w:val="00E52737"/>
    <w:rsid w:val="00E52765"/>
    <w:rsid w:val="00E52A41"/>
    <w:rsid w:val="00E52AAF"/>
    <w:rsid w:val="00E52B5E"/>
    <w:rsid w:val="00E53506"/>
    <w:rsid w:val="00E5372F"/>
    <w:rsid w:val="00E53D8E"/>
    <w:rsid w:val="00E540E9"/>
    <w:rsid w:val="00E549DE"/>
    <w:rsid w:val="00E54C46"/>
    <w:rsid w:val="00E54CE7"/>
    <w:rsid w:val="00E559C4"/>
    <w:rsid w:val="00E55DF9"/>
    <w:rsid w:val="00E55EE8"/>
    <w:rsid w:val="00E55F59"/>
    <w:rsid w:val="00E5604A"/>
    <w:rsid w:val="00E5605B"/>
    <w:rsid w:val="00E5614B"/>
    <w:rsid w:val="00E56438"/>
    <w:rsid w:val="00E56542"/>
    <w:rsid w:val="00E5667F"/>
    <w:rsid w:val="00E5678B"/>
    <w:rsid w:val="00E56C4B"/>
    <w:rsid w:val="00E56D6B"/>
    <w:rsid w:val="00E56E5B"/>
    <w:rsid w:val="00E573F3"/>
    <w:rsid w:val="00E57610"/>
    <w:rsid w:val="00E5772C"/>
    <w:rsid w:val="00E57874"/>
    <w:rsid w:val="00E5794A"/>
    <w:rsid w:val="00E57F69"/>
    <w:rsid w:val="00E57F83"/>
    <w:rsid w:val="00E60268"/>
    <w:rsid w:val="00E60387"/>
    <w:rsid w:val="00E60901"/>
    <w:rsid w:val="00E61114"/>
    <w:rsid w:val="00E61215"/>
    <w:rsid w:val="00E61351"/>
    <w:rsid w:val="00E61478"/>
    <w:rsid w:val="00E61738"/>
    <w:rsid w:val="00E61D17"/>
    <w:rsid w:val="00E61F8F"/>
    <w:rsid w:val="00E61FD2"/>
    <w:rsid w:val="00E621EE"/>
    <w:rsid w:val="00E62355"/>
    <w:rsid w:val="00E6307B"/>
    <w:rsid w:val="00E63490"/>
    <w:rsid w:val="00E63558"/>
    <w:rsid w:val="00E6372C"/>
    <w:rsid w:val="00E638EB"/>
    <w:rsid w:val="00E63A64"/>
    <w:rsid w:val="00E63D12"/>
    <w:rsid w:val="00E63D13"/>
    <w:rsid w:val="00E64067"/>
    <w:rsid w:val="00E64073"/>
    <w:rsid w:val="00E64090"/>
    <w:rsid w:val="00E64867"/>
    <w:rsid w:val="00E6499A"/>
    <w:rsid w:val="00E64E9E"/>
    <w:rsid w:val="00E6536C"/>
    <w:rsid w:val="00E654A9"/>
    <w:rsid w:val="00E65751"/>
    <w:rsid w:val="00E659C9"/>
    <w:rsid w:val="00E65A03"/>
    <w:rsid w:val="00E65EE2"/>
    <w:rsid w:val="00E66119"/>
    <w:rsid w:val="00E664F5"/>
    <w:rsid w:val="00E6665F"/>
    <w:rsid w:val="00E66DAE"/>
    <w:rsid w:val="00E66DDC"/>
    <w:rsid w:val="00E66E06"/>
    <w:rsid w:val="00E67A65"/>
    <w:rsid w:val="00E67B23"/>
    <w:rsid w:val="00E67CAF"/>
    <w:rsid w:val="00E67E7E"/>
    <w:rsid w:val="00E700D6"/>
    <w:rsid w:val="00E700FD"/>
    <w:rsid w:val="00E707EB"/>
    <w:rsid w:val="00E708FF"/>
    <w:rsid w:val="00E70A6C"/>
    <w:rsid w:val="00E70B3F"/>
    <w:rsid w:val="00E70CBB"/>
    <w:rsid w:val="00E70DAD"/>
    <w:rsid w:val="00E7103A"/>
    <w:rsid w:val="00E71B9D"/>
    <w:rsid w:val="00E71DB2"/>
    <w:rsid w:val="00E71F92"/>
    <w:rsid w:val="00E722B4"/>
    <w:rsid w:val="00E722B7"/>
    <w:rsid w:val="00E728E7"/>
    <w:rsid w:val="00E72CD5"/>
    <w:rsid w:val="00E72EFB"/>
    <w:rsid w:val="00E72FE4"/>
    <w:rsid w:val="00E7300C"/>
    <w:rsid w:val="00E7311C"/>
    <w:rsid w:val="00E7311D"/>
    <w:rsid w:val="00E73220"/>
    <w:rsid w:val="00E73354"/>
    <w:rsid w:val="00E73AE4"/>
    <w:rsid w:val="00E74352"/>
    <w:rsid w:val="00E74856"/>
    <w:rsid w:val="00E74D43"/>
    <w:rsid w:val="00E74E77"/>
    <w:rsid w:val="00E7500A"/>
    <w:rsid w:val="00E7518B"/>
    <w:rsid w:val="00E75193"/>
    <w:rsid w:val="00E754EC"/>
    <w:rsid w:val="00E7554B"/>
    <w:rsid w:val="00E757A1"/>
    <w:rsid w:val="00E75A0A"/>
    <w:rsid w:val="00E75A70"/>
    <w:rsid w:val="00E75DEE"/>
    <w:rsid w:val="00E76189"/>
    <w:rsid w:val="00E76799"/>
    <w:rsid w:val="00E76F7B"/>
    <w:rsid w:val="00E76F94"/>
    <w:rsid w:val="00E7705C"/>
    <w:rsid w:val="00E773E1"/>
    <w:rsid w:val="00E774E1"/>
    <w:rsid w:val="00E7762B"/>
    <w:rsid w:val="00E7767D"/>
    <w:rsid w:val="00E7792A"/>
    <w:rsid w:val="00E77E89"/>
    <w:rsid w:val="00E80251"/>
    <w:rsid w:val="00E80991"/>
    <w:rsid w:val="00E80A40"/>
    <w:rsid w:val="00E80B1C"/>
    <w:rsid w:val="00E81250"/>
    <w:rsid w:val="00E813F4"/>
    <w:rsid w:val="00E81463"/>
    <w:rsid w:val="00E8148A"/>
    <w:rsid w:val="00E819BF"/>
    <w:rsid w:val="00E819F6"/>
    <w:rsid w:val="00E81E20"/>
    <w:rsid w:val="00E82014"/>
    <w:rsid w:val="00E8201E"/>
    <w:rsid w:val="00E8278C"/>
    <w:rsid w:val="00E829AD"/>
    <w:rsid w:val="00E82C09"/>
    <w:rsid w:val="00E82F1A"/>
    <w:rsid w:val="00E83066"/>
    <w:rsid w:val="00E8321D"/>
    <w:rsid w:val="00E832DB"/>
    <w:rsid w:val="00E833D7"/>
    <w:rsid w:val="00E83425"/>
    <w:rsid w:val="00E836C0"/>
    <w:rsid w:val="00E839AB"/>
    <w:rsid w:val="00E83B68"/>
    <w:rsid w:val="00E83EE9"/>
    <w:rsid w:val="00E849C7"/>
    <w:rsid w:val="00E84BBC"/>
    <w:rsid w:val="00E84C12"/>
    <w:rsid w:val="00E84E14"/>
    <w:rsid w:val="00E8538E"/>
    <w:rsid w:val="00E853F2"/>
    <w:rsid w:val="00E8566F"/>
    <w:rsid w:val="00E85D21"/>
    <w:rsid w:val="00E85E4A"/>
    <w:rsid w:val="00E86455"/>
    <w:rsid w:val="00E866E9"/>
    <w:rsid w:val="00E86B7A"/>
    <w:rsid w:val="00E86B94"/>
    <w:rsid w:val="00E86D5D"/>
    <w:rsid w:val="00E86DED"/>
    <w:rsid w:val="00E87244"/>
    <w:rsid w:val="00E8727D"/>
    <w:rsid w:val="00E8737B"/>
    <w:rsid w:val="00E87508"/>
    <w:rsid w:val="00E8763B"/>
    <w:rsid w:val="00E87885"/>
    <w:rsid w:val="00E8788F"/>
    <w:rsid w:val="00E87B11"/>
    <w:rsid w:val="00E87CC4"/>
    <w:rsid w:val="00E90479"/>
    <w:rsid w:val="00E90517"/>
    <w:rsid w:val="00E906FC"/>
    <w:rsid w:val="00E90E7F"/>
    <w:rsid w:val="00E912DE"/>
    <w:rsid w:val="00E91596"/>
    <w:rsid w:val="00E91769"/>
    <w:rsid w:val="00E9183D"/>
    <w:rsid w:val="00E9186A"/>
    <w:rsid w:val="00E91F05"/>
    <w:rsid w:val="00E923EE"/>
    <w:rsid w:val="00E9241B"/>
    <w:rsid w:val="00E9249A"/>
    <w:rsid w:val="00E925C3"/>
    <w:rsid w:val="00E92E20"/>
    <w:rsid w:val="00E93103"/>
    <w:rsid w:val="00E9336E"/>
    <w:rsid w:val="00E9375D"/>
    <w:rsid w:val="00E93980"/>
    <w:rsid w:val="00E93B76"/>
    <w:rsid w:val="00E93D0C"/>
    <w:rsid w:val="00E93D45"/>
    <w:rsid w:val="00E94AC3"/>
    <w:rsid w:val="00E95568"/>
    <w:rsid w:val="00E9564D"/>
    <w:rsid w:val="00E95874"/>
    <w:rsid w:val="00E95A42"/>
    <w:rsid w:val="00E95B2E"/>
    <w:rsid w:val="00E95D2A"/>
    <w:rsid w:val="00E95DC9"/>
    <w:rsid w:val="00E95F22"/>
    <w:rsid w:val="00E95F59"/>
    <w:rsid w:val="00E96144"/>
    <w:rsid w:val="00E962EA"/>
    <w:rsid w:val="00E969FB"/>
    <w:rsid w:val="00E96ED2"/>
    <w:rsid w:val="00E97020"/>
    <w:rsid w:val="00E972AF"/>
    <w:rsid w:val="00E9751D"/>
    <w:rsid w:val="00E9777B"/>
    <w:rsid w:val="00E97A01"/>
    <w:rsid w:val="00EA012F"/>
    <w:rsid w:val="00EA01C6"/>
    <w:rsid w:val="00EA05C2"/>
    <w:rsid w:val="00EA0960"/>
    <w:rsid w:val="00EA0EEA"/>
    <w:rsid w:val="00EA1008"/>
    <w:rsid w:val="00EA1390"/>
    <w:rsid w:val="00EA15FF"/>
    <w:rsid w:val="00EA1699"/>
    <w:rsid w:val="00EA16D2"/>
    <w:rsid w:val="00EA1D69"/>
    <w:rsid w:val="00EA1F36"/>
    <w:rsid w:val="00EA1F59"/>
    <w:rsid w:val="00EA224B"/>
    <w:rsid w:val="00EA25A0"/>
    <w:rsid w:val="00EA26C7"/>
    <w:rsid w:val="00EA2B66"/>
    <w:rsid w:val="00EA2F7F"/>
    <w:rsid w:val="00EA33AA"/>
    <w:rsid w:val="00EA33D4"/>
    <w:rsid w:val="00EA34FE"/>
    <w:rsid w:val="00EA35FE"/>
    <w:rsid w:val="00EA3860"/>
    <w:rsid w:val="00EA3A3F"/>
    <w:rsid w:val="00EA3A8C"/>
    <w:rsid w:val="00EA40B1"/>
    <w:rsid w:val="00EA4174"/>
    <w:rsid w:val="00EA496E"/>
    <w:rsid w:val="00EA4E55"/>
    <w:rsid w:val="00EA4EF3"/>
    <w:rsid w:val="00EA4F6E"/>
    <w:rsid w:val="00EA543F"/>
    <w:rsid w:val="00EA5875"/>
    <w:rsid w:val="00EA5910"/>
    <w:rsid w:val="00EA5911"/>
    <w:rsid w:val="00EA5C23"/>
    <w:rsid w:val="00EA5CB4"/>
    <w:rsid w:val="00EA5F68"/>
    <w:rsid w:val="00EA5FDD"/>
    <w:rsid w:val="00EA617B"/>
    <w:rsid w:val="00EA61C7"/>
    <w:rsid w:val="00EA6538"/>
    <w:rsid w:val="00EA69D1"/>
    <w:rsid w:val="00EA7108"/>
    <w:rsid w:val="00EA77BE"/>
    <w:rsid w:val="00EA7AC7"/>
    <w:rsid w:val="00EA7AED"/>
    <w:rsid w:val="00EA7BF6"/>
    <w:rsid w:val="00EA7CD0"/>
    <w:rsid w:val="00EA7D46"/>
    <w:rsid w:val="00EB003D"/>
    <w:rsid w:val="00EB064C"/>
    <w:rsid w:val="00EB0753"/>
    <w:rsid w:val="00EB0867"/>
    <w:rsid w:val="00EB0E2E"/>
    <w:rsid w:val="00EB0EF2"/>
    <w:rsid w:val="00EB17DE"/>
    <w:rsid w:val="00EB1DA9"/>
    <w:rsid w:val="00EB2171"/>
    <w:rsid w:val="00EB2355"/>
    <w:rsid w:val="00EB2628"/>
    <w:rsid w:val="00EB27AB"/>
    <w:rsid w:val="00EB27F7"/>
    <w:rsid w:val="00EB2AC3"/>
    <w:rsid w:val="00EB3276"/>
    <w:rsid w:val="00EB36D7"/>
    <w:rsid w:val="00EB3AA3"/>
    <w:rsid w:val="00EB4404"/>
    <w:rsid w:val="00EB4466"/>
    <w:rsid w:val="00EB44C6"/>
    <w:rsid w:val="00EB47AD"/>
    <w:rsid w:val="00EB47EB"/>
    <w:rsid w:val="00EB4917"/>
    <w:rsid w:val="00EB51AF"/>
    <w:rsid w:val="00EB545A"/>
    <w:rsid w:val="00EB55CC"/>
    <w:rsid w:val="00EB5854"/>
    <w:rsid w:val="00EB588D"/>
    <w:rsid w:val="00EB58D2"/>
    <w:rsid w:val="00EB5AFD"/>
    <w:rsid w:val="00EB5DF1"/>
    <w:rsid w:val="00EB6116"/>
    <w:rsid w:val="00EB633E"/>
    <w:rsid w:val="00EB652E"/>
    <w:rsid w:val="00EB661D"/>
    <w:rsid w:val="00EB6789"/>
    <w:rsid w:val="00EB6840"/>
    <w:rsid w:val="00EB68F8"/>
    <w:rsid w:val="00EB6DB0"/>
    <w:rsid w:val="00EB72B0"/>
    <w:rsid w:val="00EB7646"/>
    <w:rsid w:val="00EB7835"/>
    <w:rsid w:val="00EB793A"/>
    <w:rsid w:val="00EB7A23"/>
    <w:rsid w:val="00EB7BE4"/>
    <w:rsid w:val="00EC0307"/>
    <w:rsid w:val="00EC04C7"/>
    <w:rsid w:val="00EC0576"/>
    <w:rsid w:val="00EC0D85"/>
    <w:rsid w:val="00EC0F6A"/>
    <w:rsid w:val="00EC0FA3"/>
    <w:rsid w:val="00EC160D"/>
    <w:rsid w:val="00EC1636"/>
    <w:rsid w:val="00EC1974"/>
    <w:rsid w:val="00EC2092"/>
    <w:rsid w:val="00EC212A"/>
    <w:rsid w:val="00EC2427"/>
    <w:rsid w:val="00EC25BA"/>
    <w:rsid w:val="00EC2719"/>
    <w:rsid w:val="00EC2F5D"/>
    <w:rsid w:val="00EC3B15"/>
    <w:rsid w:val="00EC3B38"/>
    <w:rsid w:val="00EC3DF1"/>
    <w:rsid w:val="00EC3E22"/>
    <w:rsid w:val="00EC436E"/>
    <w:rsid w:val="00EC4423"/>
    <w:rsid w:val="00EC44A2"/>
    <w:rsid w:val="00EC45B8"/>
    <w:rsid w:val="00EC4795"/>
    <w:rsid w:val="00EC4BE9"/>
    <w:rsid w:val="00EC50EF"/>
    <w:rsid w:val="00EC534C"/>
    <w:rsid w:val="00EC55E3"/>
    <w:rsid w:val="00EC57FF"/>
    <w:rsid w:val="00EC5854"/>
    <w:rsid w:val="00EC5BD3"/>
    <w:rsid w:val="00EC5EA9"/>
    <w:rsid w:val="00EC6032"/>
    <w:rsid w:val="00EC63EC"/>
    <w:rsid w:val="00EC64B5"/>
    <w:rsid w:val="00EC6AB3"/>
    <w:rsid w:val="00EC6D76"/>
    <w:rsid w:val="00EC6FEF"/>
    <w:rsid w:val="00EC7199"/>
    <w:rsid w:val="00EC73A3"/>
    <w:rsid w:val="00EC74EF"/>
    <w:rsid w:val="00EC755F"/>
    <w:rsid w:val="00EC782D"/>
    <w:rsid w:val="00EC785F"/>
    <w:rsid w:val="00EC7AC3"/>
    <w:rsid w:val="00EC7CA9"/>
    <w:rsid w:val="00EC7D2E"/>
    <w:rsid w:val="00ED04CB"/>
    <w:rsid w:val="00ED052B"/>
    <w:rsid w:val="00ED064B"/>
    <w:rsid w:val="00ED067F"/>
    <w:rsid w:val="00ED0C81"/>
    <w:rsid w:val="00ED0E74"/>
    <w:rsid w:val="00ED1075"/>
    <w:rsid w:val="00ED115A"/>
    <w:rsid w:val="00ED1336"/>
    <w:rsid w:val="00ED21C9"/>
    <w:rsid w:val="00ED224E"/>
    <w:rsid w:val="00ED228C"/>
    <w:rsid w:val="00ED2840"/>
    <w:rsid w:val="00ED2929"/>
    <w:rsid w:val="00ED29EE"/>
    <w:rsid w:val="00ED2CD7"/>
    <w:rsid w:val="00ED2FC4"/>
    <w:rsid w:val="00ED315D"/>
    <w:rsid w:val="00ED3547"/>
    <w:rsid w:val="00ED3566"/>
    <w:rsid w:val="00ED35E7"/>
    <w:rsid w:val="00ED3862"/>
    <w:rsid w:val="00ED3B8B"/>
    <w:rsid w:val="00ED3C4F"/>
    <w:rsid w:val="00ED3DB9"/>
    <w:rsid w:val="00ED41CC"/>
    <w:rsid w:val="00ED47E9"/>
    <w:rsid w:val="00ED4973"/>
    <w:rsid w:val="00ED4C1D"/>
    <w:rsid w:val="00ED4EF5"/>
    <w:rsid w:val="00ED566F"/>
    <w:rsid w:val="00ED5746"/>
    <w:rsid w:val="00ED5775"/>
    <w:rsid w:val="00ED5802"/>
    <w:rsid w:val="00ED583B"/>
    <w:rsid w:val="00ED5975"/>
    <w:rsid w:val="00ED5A67"/>
    <w:rsid w:val="00ED5B14"/>
    <w:rsid w:val="00ED5E69"/>
    <w:rsid w:val="00ED60F9"/>
    <w:rsid w:val="00ED6155"/>
    <w:rsid w:val="00ED61A0"/>
    <w:rsid w:val="00ED61CC"/>
    <w:rsid w:val="00ED62AD"/>
    <w:rsid w:val="00ED62DE"/>
    <w:rsid w:val="00ED6978"/>
    <w:rsid w:val="00ED6AAF"/>
    <w:rsid w:val="00ED6B28"/>
    <w:rsid w:val="00ED6D8B"/>
    <w:rsid w:val="00ED6F7E"/>
    <w:rsid w:val="00ED720D"/>
    <w:rsid w:val="00ED7311"/>
    <w:rsid w:val="00ED7331"/>
    <w:rsid w:val="00ED7BC0"/>
    <w:rsid w:val="00ED7D5E"/>
    <w:rsid w:val="00EE024C"/>
    <w:rsid w:val="00EE073F"/>
    <w:rsid w:val="00EE074D"/>
    <w:rsid w:val="00EE0C77"/>
    <w:rsid w:val="00EE0E76"/>
    <w:rsid w:val="00EE13AF"/>
    <w:rsid w:val="00EE13D1"/>
    <w:rsid w:val="00EE147C"/>
    <w:rsid w:val="00EE18E9"/>
    <w:rsid w:val="00EE19E6"/>
    <w:rsid w:val="00EE1C9B"/>
    <w:rsid w:val="00EE20F5"/>
    <w:rsid w:val="00EE2187"/>
    <w:rsid w:val="00EE21DA"/>
    <w:rsid w:val="00EE21FB"/>
    <w:rsid w:val="00EE2478"/>
    <w:rsid w:val="00EE2571"/>
    <w:rsid w:val="00EE29D5"/>
    <w:rsid w:val="00EE2D8A"/>
    <w:rsid w:val="00EE2E41"/>
    <w:rsid w:val="00EE2EC9"/>
    <w:rsid w:val="00EE2F20"/>
    <w:rsid w:val="00EE31BC"/>
    <w:rsid w:val="00EE35A7"/>
    <w:rsid w:val="00EE363C"/>
    <w:rsid w:val="00EE3699"/>
    <w:rsid w:val="00EE374B"/>
    <w:rsid w:val="00EE37D6"/>
    <w:rsid w:val="00EE3EB4"/>
    <w:rsid w:val="00EE3EED"/>
    <w:rsid w:val="00EE47BC"/>
    <w:rsid w:val="00EE4D05"/>
    <w:rsid w:val="00EE56B0"/>
    <w:rsid w:val="00EE5A4C"/>
    <w:rsid w:val="00EE5E05"/>
    <w:rsid w:val="00EE5EEB"/>
    <w:rsid w:val="00EE5F97"/>
    <w:rsid w:val="00EE61E6"/>
    <w:rsid w:val="00EE6A82"/>
    <w:rsid w:val="00EE6BEE"/>
    <w:rsid w:val="00EE6CA4"/>
    <w:rsid w:val="00EE6E53"/>
    <w:rsid w:val="00EE6FF7"/>
    <w:rsid w:val="00EE70EA"/>
    <w:rsid w:val="00EE7143"/>
    <w:rsid w:val="00EE7189"/>
    <w:rsid w:val="00EE7278"/>
    <w:rsid w:val="00EE782D"/>
    <w:rsid w:val="00EE7DEE"/>
    <w:rsid w:val="00EF0298"/>
    <w:rsid w:val="00EF02BA"/>
    <w:rsid w:val="00EF0331"/>
    <w:rsid w:val="00EF0379"/>
    <w:rsid w:val="00EF0637"/>
    <w:rsid w:val="00EF0690"/>
    <w:rsid w:val="00EF09C7"/>
    <w:rsid w:val="00EF0AFF"/>
    <w:rsid w:val="00EF0B8B"/>
    <w:rsid w:val="00EF0C5B"/>
    <w:rsid w:val="00EF0CF2"/>
    <w:rsid w:val="00EF0E1B"/>
    <w:rsid w:val="00EF0E74"/>
    <w:rsid w:val="00EF0F60"/>
    <w:rsid w:val="00EF107A"/>
    <w:rsid w:val="00EF1272"/>
    <w:rsid w:val="00EF1470"/>
    <w:rsid w:val="00EF172C"/>
    <w:rsid w:val="00EF1BF7"/>
    <w:rsid w:val="00EF1C8E"/>
    <w:rsid w:val="00EF1E64"/>
    <w:rsid w:val="00EF23CA"/>
    <w:rsid w:val="00EF2A36"/>
    <w:rsid w:val="00EF2B47"/>
    <w:rsid w:val="00EF2CB3"/>
    <w:rsid w:val="00EF2CEE"/>
    <w:rsid w:val="00EF2DC0"/>
    <w:rsid w:val="00EF2DF3"/>
    <w:rsid w:val="00EF2E49"/>
    <w:rsid w:val="00EF3214"/>
    <w:rsid w:val="00EF33E6"/>
    <w:rsid w:val="00EF37A2"/>
    <w:rsid w:val="00EF38EC"/>
    <w:rsid w:val="00EF3A3F"/>
    <w:rsid w:val="00EF3B54"/>
    <w:rsid w:val="00EF3BE6"/>
    <w:rsid w:val="00EF3BFE"/>
    <w:rsid w:val="00EF3FC3"/>
    <w:rsid w:val="00EF417B"/>
    <w:rsid w:val="00EF4254"/>
    <w:rsid w:val="00EF42BF"/>
    <w:rsid w:val="00EF437E"/>
    <w:rsid w:val="00EF4662"/>
    <w:rsid w:val="00EF4EC3"/>
    <w:rsid w:val="00EF50C9"/>
    <w:rsid w:val="00EF5178"/>
    <w:rsid w:val="00EF51F8"/>
    <w:rsid w:val="00EF5249"/>
    <w:rsid w:val="00EF5D24"/>
    <w:rsid w:val="00EF5DC1"/>
    <w:rsid w:val="00EF63C9"/>
    <w:rsid w:val="00EF64EE"/>
    <w:rsid w:val="00EF65F1"/>
    <w:rsid w:val="00EF66ED"/>
    <w:rsid w:val="00EF69A1"/>
    <w:rsid w:val="00EF6A36"/>
    <w:rsid w:val="00EF6CD2"/>
    <w:rsid w:val="00EF71AC"/>
    <w:rsid w:val="00EF7457"/>
    <w:rsid w:val="00EF75D6"/>
    <w:rsid w:val="00EF7652"/>
    <w:rsid w:val="00EF7CAE"/>
    <w:rsid w:val="00F0064A"/>
    <w:rsid w:val="00F0069C"/>
    <w:rsid w:val="00F006D1"/>
    <w:rsid w:val="00F00733"/>
    <w:rsid w:val="00F007CC"/>
    <w:rsid w:val="00F00AD7"/>
    <w:rsid w:val="00F00BD0"/>
    <w:rsid w:val="00F00CF8"/>
    <w:rsid w:val="00F01483"/>
    <w:rsid w:val="00F01798"/>
    <w:rsid w:val="00F01885"/>
    <w:rsid w:val="00F0204A"/>
    <w:rsid w:val="00F020BB"/>
    <w:rsid w:val="00F0225B"/>
    <w:rsid w:val="00F0262F"/>
    <w:rsid w:val="00F029BA"/>
    <w:rsid w:val="00F02CFA"/>
    <w:rsid w:val="00F03291"/>
    <w:rsid w:val="00F0388D"/>
    <w:rsid w:val="00F03C53"/>
    <w:rsid w:val="00F03D69"/>
    <w:rsid w:val="00F04210"/>
    <w:rsid w:val="00F043A6"/>
    <w:rsid w:val="00F04405"/>
    <w:rsid w:val="00F04776"/>
    <w:rsid w:val="00F04869"/>
    <w:rsid w:val="00F04BC5"/>
    <w:rsid w:val="00F04BF0"/>
    <w:rsid w:val="00F04DC9"/>
    <w:rsid w:val="00F05025"/>
    <w:rsid w:val="00F05047"/>
    <w:rsid w:val="00F05458"/>
    <w:rsid w:val="00F05A47"/>
    <w:rsid w:val="00F05BC1"/>
    <w:rsid w:val="00F0605F"/>
    <w:rsid w:val="00F06190"/>
    <w:rsid w:val="00F061D9"/>
    <w:rsid w:val="00F063B0"/>
    <w:rsid w:val="00F06624"/>
    <w:rsid w:val="00F0671C"/>
    <w:rsid w:val="00F06788"/>
    <w:rsid w:val="00F06889"/>
    <w:rsid w:val="00F06C8B"/>
    <w:rsid w:val="00F06E58"/>
    <w:rsid w:val="00F06EF3"/>
    <w:rsid w:val="00F06F39"/>
    <w:rsid w:val="00F071AA"/>
    <w:rsid w:val="00F07494"/>
    <w:rsid w:val="00F07727"/>
    <w:rsid w:val="00F0789F"/>
    <w:rsid w:val="00F0797C"/>
    <w:rsid w:val="00F10168"/>
    <w:rsid w:val="00F101A5"/>
    <w:rsid w:val="00F1031E"/>
    <w:rsid w:val="00F103B7"/>
    <w:rsid w:val="00F10433"/>
    <w:rsid w:val="00F10566"/>
    <w:rsid w:val="00F10A50"/>
    <w:rsid w:val="00F10B13"/>
    <w:rsid w:val="00F113DA"/>
    <w:rsid w:val="00F114FE"/>
    <w:rsid w:val="00F116AF"/>
    <w:rsid w:val="00F11AA0"/>
    <w:rsid w:val="00F11EC9"/>
    <w:rsid w:val="00F1239B"/>
    <w:rsid w:val="00F127FD"/>
    <w:rsid w:val="00F1294D"/>
    <w:rsid w:val="00F12DFE"/>
    <w:rsid w:val="00F13049"/>
    <w:rsid w:val="00F13176"/>
    <w:rsid w:val="00F13409"/>
    <w:rsid w:val="00F136BF"/>
    <w:rsid w:val="00F137F3"/>
    <w:rsid w:val="00F13AB3"/>
    <w:rsid w:val="00F13B31"/>
    <w:rsid w:val="00F13BC0"/>
    <w:rsid w:val="00F14057"/>
    <w:rsid w:val="00F1409F"/>
    <w:rsid w:val="00F140BA"/>
    <w:rsid w:val="00F14405"/>
    <w:rsid w:val="00F14994"/>
    <w:rsid w:val="00F14A43"/>
    <w:rsid w:val="00F14AF9"/>
    <w:rsid w:val="00F14C98"/>
    <w:rsid w:val="00F14CDB"/>
    <w:rsid w:val="00F14E0B"/>
    <w:rsid w:val="00F14EC2"/>
    <w:rsid w:val="00F150CD"/>
    <w:rsid w:val="00F1531D"/>
    <w:rsid w:val="00F1539B"/>
    <w:rsid w:val="00F153AE"/>
    <w:rsid w:val="00F15541"/>
    <w:rsid w:val="00F15A94"/>
    <w:rsid w:val="00F15B3D"/>
    <w:rsid w:val="00F15D35"/>
    <w:rsid w:val="00F15F5F"/>
    <w:rsid w:val="00F165C7"/>
    <w:rsid w:val="00F16741"/>
    <w:rsid w:val="00F16CB5"/>
    <w:rsid w:val="00F16D38"/>
    <w:rsid w:val="00F16DA3"/>
    <w:rsid w:val="00F17106"/>
    <w:rsid w:val="00F17171"/>
    <w:rsid w:val="00F171B2"/>
    <w:rsid w:val="00F17321"/>
    <w:rsid w:val="00F173FB"/>
    <w:rsid w:val="00F175E2"/>
    <w:rsid w:val="00F179E3"/>
    <w:rsid w:val="00F200B4"/>
    <w:rsid w:val="00F20368"/>
    <w:rsid w:val="00F20462"/>
    <w:rsid w:val="00F2064E"/>
    <w:rsid w:val="00F20862"/>
    <w:rsid w:val="00F20871"/>
    <w:rsid w:val="00F20934"/>
    <w:rsid w:val="00F20EDA"/>
    <w:rsid w:val="00F217E1"/>
    <w:rsid w:val="00F21B2C"/>
    <w:rsid w:val="00F21C66"/>
    <w:rsid w:val="00F21F94"/>
    <w:rsid w:val="00F2227C"/>
    <w:rsid w:val="00F224DD"/>
    <w:rsid w:val="00F2285F"/>
    <w:rsid w:val="00F228BA"/>
    <w:rsid w:val="00F22B55"/>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9BF"/>
    <w:rsid w:val="00F25A17"/>
    <w:rsid w:val="00F25C69"/>
    <w:rsid w:val="00F25C90"/>
    <w:rsid w:val="00F25FFA"/>
    <w:rsid w:val="00F26723"/>
    <w:rsid w:val="00F26B24"/>
    <w:rsid w:val="00F26DF6"/>
    <w:rsid w:val="00F27163"/>
    <w:rsid w:val="00F2726E"/>
    <w:rsid w:val="00F2750E"/>
    <w:rsid w:val="00F27997"/>
    <w:rsid w:val="00F279BC"/>
    <w:rsid w:val="00F27CD3"/>
    <w:rsid w:val="00F27D84"/>
    <w:rsid w:val="00F27E87"/>
    <w:rsid w:val="00F301C0"/>
    <w:rsid w:val="00F304C1"/>
    <w:rsid w:val="00F304D4"/>
    <w:rsid w:val="00F305B8"/>
    <w:rsid w:val="00F30766"/>
    <w:rsid w:val="00F30767"/>
    <w:rsid w:val="00F30BE3"/>
    <w:rsid w:val="00F30E33"/>
    <w:rsid w:val="00F30FA3"/>
    <w:rsid w:val="00F31191"/>
    <w:rsid w:val="00F3152B"/>
    <w:rsid w:val="00F315E0"/>
    <w:rsid w:val="00F3179A"/>
    <w:rsid w:val="00F319E5"/>
    <w:rsid w:val="00F31C17"/>
    <w:rsid w:val="00F31E22"/>
    <w:rsid w:val="00F3243E"/>
    <w:rsid w:val="00F32454"/>
    <w:rsid w:val="00F32562"/>
    <w:rsid w:val="00F32630"/>
    <w:rsid w:val="00F3274D"/>
    <w:rsid w:val="00F32863"/>
    <w:rsid w:val="00F32EF6"/>
    <w:rsid w:val="00F32FB5"/>
    <w:rsid w:val="00F33039"/>
    <w:rsid w:val="00F33241"/>
    <w:rsid w:val="00F33903"/>
    <w:rsid w:val="00F33B17"/>
    <w:rsid w:val="00F33BD5"/>
    <w:rsid w:val="00F33C00"/>
    <w:rsid w:val="00F33C7D"/>
    <w:rsid w:val="00F33DFE"/>
    <w:rsid w:val="00F342C1"/>
    <w:rsid w:val="00F347ED"/>
    <w:rsid w:val="00F34A52"/>
    <w:rsid w:val="00F35678"/>
    <w:rsid w:val="00F35753"/>
    <w:rsid w:val="00F357DD"/>
    <w:rsid w:val="00F35B98"/>
    <w:rsid w:val="00F36398"/>
    <w:rsid w:val="00F363C9"/>
    <w:rsid w:val="00F366BB"/>
    <w:rsid w:val="00F36934"/>
    <w:rsid w:val="00F36CEE"/>
    <w:rsid w:val="00F36ED1"/>
    <w:rsid w:val="00F37034"/>
    <w:rsid w:val="00F370C3"/>
    <w:rsid w:val="00F37182"/>
    <w:rsid w:val="00F37294"/>
    <w:rsid w:val="00F37461"/>
    <w:rsid w:val="00F3753F"/>
    <w:rsid w:val="00F378CD"/>
    <w:rsid w:val="00F379FD"/>
    <w:rsid w:val="00F37A8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1E74"/>
    <w:rsid w:val="00F42403"/>
    <w:rsid w:val="00F425A7"/>
    <w:rsid w:val="00F42883"/>
    <w:rsid w:val="00F429E2"/>
    <w:rsid w:val="00F429ED"/>
    <w:rsid w:val="00F4328E"/>
    <w:rsid w:val="00F43407"/>
    <w:rsid w:val="00F4350A"/>
    <w:rsid w:val="00F43871"/>
    <w:rsid w:val="00F438C7"/>
    <w:rsid w:val="00F43C2E"/>
    <w:rsid w:val="00F43E80"/>
    <w:rsid w:val="00F444A5"/>
    <w:rsid w:val="00F44624"/>
    <w:rsid w:val="00F446AA"/>
    <w:rsid w:val="00F44760"/>
    <w:rsid w:val="00F44A57"/>
    <w:rsid w:val="00F44A95"/>
    <w:rsid w:val="00F44AB1"/>
    <w:rsid w:val="00F44B7D"/>
    <w:rsid w:val="00F451F3"/>
    <w:rsid w:val="00F4521E"/>
    <w:rsid w:val="00F453D8"/>
    <w:rsid w:val="00F45900"/>
    <w:rsid w:val="00F45950"/>
    <w:rsid w:val="00F45BAE"/>
    <w:rsid w:val="00F45DC4"/>
    <w:rsid w:val="00F461DF"/>
    <w:rsid w:val="00F4641B"/>
    <w:rsid w:val="00F466D4"/>
    <w:rsid w:val="00F468BE"/>
    <w:rsid w:val="00F46C87"/>
    <w:rsid w:val="00F4706C"/>
    <w:rsid w:val="00F472A3"/>
    <w:rsid w:val="00F475F7"/>
    <w:rsid w:val="00F4776A"/>
    <w:rsid w:val="00F47CD7"/>
    <w:rsid w:val="00F47F5C"/>
    <w:rsid w:val="00F47F5D"/>
    <w:rsid w:val="00F50027"/>
    <w:rsid w:val="00F500EB"/>
    <w:rsid w:val="00F5019A"/>
    <w:rsid w:val="00F50AB2"/>
    <w:rsid w:val="00F50CBF"/>
    <w:rsid w:val="00F5105B"/>
    <w:rsid w:val="00F5130B"/>
    <w:rsid w:val="00F5131E"/>
    <w:rsid w:val="00F51773"/>
    <w:rsid w:val="00F517CF"/>
    <w:rsid w:val="00F518F6"/>
    <w:rsid w:val="00F51913"/>
    <w:rsid w:val="00F51B32"/>
    <w:rsid w:val="00F51CD8"/>
    <w:rsid w:val="00F520C3"/>
    <w:rsid w:val="00F520F9"/>
    <w:rsid w:val="00F52172"/>
    <w:rsid w:val="00F5234D"/>
    <w:rsid w:val="00F52AE9"/>
    <w:rsid w:val="00F52D23"/>
    <w:rsid w:val="00F52E5C"/>
    <w:rsid w:val="00F532B7"/>
    <w:rsid w:val="00F535F4"/>
    <w:rsid w:val="00F536A5"/>
    <w:rsid w:val="00F536EB"/>
    <w:rsid w:val="00F53878"/>
    <w:rsid w:val="00F5397A"/>
    <w:rsid w:val="00F53DDE"/>
    <w:rsid w:val="00F53E4D"/>
    <w:rsid w:val="00F53EC9"/>
    <w:rsid w:val="00F54A2B"/>
    <w:rsid w:val="00F54B3C"/>
    <w:rsid w:val="00F54CCB"/>
    <w:rsid w:val="00F54DB0"/>
    <w:rsid w:val="00F54F2E"/>
    <w:rsid w:val="00F5512A"/>
    <w:rsid w:val="00F5531B"/>
    <w:rsid w:val="00F55333"/>
    <w:rsid w:val="00F556FA"/>
    <w:rsid w:val="00F558C1"/>
    <w:rsid w:val="00F55918"/>
    <w:rsid w:val="00F55D91"/>
    <w:rsid w:val="00F55E5E"/>
    <w:rsid w:val="00F55E6D"/>
    <w:rsid w:val="00F5658B"/>
    <w:rsid w:val="00F56759"/>
    <w:rsid w:val="00F5681E"/>
    <w:rsid w:val="00F569BA"/>
    <w:rsid w:val="00F569D5"/>
    <w:rsid w:val="00F56B58"/>
    <w:rsid w:val="00F56C7D"/>
    <w:rsid w:val="00F56DC1"/>
    <w:rsid w:val="00F56FEE"/>
    <w:rsid w:val="00F57ABD"/>
    <w:rsid w:val="00F57C6B"/>
    <w:rsid w:val="00F605D8"/>
    <w:rsid w:val="00F609AE"/>
    <w:rsid w:val="00F60AD3"/>
    <w:rsid w:val="00F60C1B"/>
    <w:rsid w:val="00F61032"/>
    <w:rsid w:val="00F6138B"/>
    <w:rsid w:val="00F6152B"/>
    <w:rsid w:val="00F61635"/>
    <w:rsid w:val="00F61766"/>
    <w:rsid w:val="00F619BD"/>
    <w:rsid w:val="00F6216A"/>
    <w:rsid w:val="00F62610"/>
    <w:rsid w:val="00F62A00"/>
    <w:rsid w:val="00F62AD7"/>
    <w:rsid w:val="00F62E49"/>
    <w:rsid w:val="00F633E8"/>
    <w:rsid w:val="00F6341C"/>
    <w:rsid w:val="00F6396E"/>
    <w:rsid w:val="00F63B28"/>
    <w:rsid w:val="00F63C60"/>
    <w:rsid w:val="00F63DA9"/>
    <w:rsid w:val="00F63DDE"/>
    <w:rsid w:val="00F64370"/>
    <w:rsid w:val="00F6437F"/>
    <w:rsid w:val="00F646ED"/>
    <w:rsid w:val="00F64919"/>
    <w:rsid w:val="00F65007"/>
    <w:rsid w:val="00F65185"/>
    <w:rsid w:val="00F651B3"/>
    <w:rsid w:val="00F653D3"/>
    <w:rsid w:val="00F65620"/>
    <w:rsid w:val="00F659BD"/>
    <w:rsid w:val="00F65A4D"/>
    <w:rsid w:val="00F65C0F"/>
    <w:rsid w:val="00F65C9E"/>
    <w:rsid w:val="00F65D0F"/>
    <w:rsid w:val="00F65E6A"/>
    <w:rsid w:val="00F66155"/>
    <w:rsid w:val="00F665CA"/>
    <w:rsid w:val="00F668F4"/>
    <w:rsid w:val="00F669B2"/>
    <w:rsid w:val="00F66B68"/>
    <w:rsid w:val="00F66C9B"/>
    <w:rsid w:val="00F66E91"/>
    <w:rsid w:val="00F66F4F"/>
    <w:rsid w:val="00F670E5"/>
    <w:rsid w:val="00F67376"/>
    <w:rsid w:val="00F674E0"/>
    <w:rsid w:val="00F67706"/>
    <w:rsid w:val="00F67754"/>
    <w:rsid w:val="00F67B29"/>
    <w:rsid w:val="00F67BB2"/>
    <w:rsid w:val="00F67C21"/>
    <w:rsid w:val="00F67CD2"/>
    <w:rsid w:val="00F67CE3"/>
    <w:rsid w:val="00F67F5A"/>
    <w:rsid w:val="00F702F5"/>
    <w:rsid w:val="00F703B8"/>
    <w:rsid w:val="00F70606"/>
    <w:rsid w:val="00F706E8"/>
    <w:rsid w:val="00F70F72"/>
    <w:rsid w:val="00F711BF"/>
    <w:rsid w:val="00F7122A"/>
    <w:rsid w:val="00F7129A"/>
    <w:rsid w:val="00F712C2"/>
    <w:rsid w:val="00F716F3"/>
    <w:rsid w:val="00F717B9"/>
    <w:rsid w:val="00F7198B"/>
    <w:rsid w:val="00F71B5F"/>
    <w:rsid w:val="00F71B6A"/>
    <w:rsid w:val="00F71D33"/>
    <w:rsid w:val="00F71D84"/>
    <w:rsid w:val="00F720B5"/>
    <w:rsid w:val="00F72286"/>
    <w:rsid w:val="00F7268E"/>
    <w:rsid w:val="00F72B6D"/>
    <w:rsid w:val="00F72E51"/>
    <w:rsid w:val="00F72F7B"/>
    <w:rsid w:val="00F73046"/>
    <w:rsid w:val="00F7314E"/>
    <w:rsid w:val="00F73157"/>
    <w:rsid w:val="00F734B8"/>
    <w:rsid w:val="00F735A5"/>
    <w:rsid w:val="00F7379A"/>
    <w:rsid w:val="00F737EE"/>
    <w:rsid w:val="00F73AE2"/>
    <w:rsid w:val="00F73F99"/>
    <w:rsid w:val="00F748EB"/>
    <w:rsid w:val="00F74AB4"/>
    <w:rsid w:val="00F74B0D"/>
    <w:rsid w:val="00F75202"/>
    <w:rsid w:val="00F75215"/>
    <w:rsid w:val="00F754D7"/>
    <w:rsid w:val="00F755EE"/>
    <w:rsid w:val="00F7584A"/>
    <w:rsid w:val="00F758C2"/>
    <w:rsid w:val="00F7591A"/>
    <w:rsid w:val="00F7596B"/>
    <w:rsid w:val="00F75B44"/>
    <w:rsid w:val="00F76076"/>
    <w:rsid w:val="00F762E2"/>
    <w:rsid w:val="00F767C6"/>
    <w:rsid w:val="00F76A47"/>
    <w:rsid w:val="00F77093"/>
    <w:rsid w:val="00F773EE"/>
    <w:rsid w:val="00F774E3"/>
    <w:rsid w:val="00F77591"/>
    <w:rsid w:val="00F775A9"/>
    <w:rsid w:val="00F7760E"/>
    <w:rsid w:val="00F7765D"/>
    <w:rsid w:val="00F77CD7"/>
    <w:rsid w:val="00F77F0E"/>
    <w:rsid w:val="00F80143"/>
    <w:rsid w:val="00F8038F"/>
    <w:rsid w:val="00F809FC"/>
    <w:rsid w:val="00F80D1F"/>
    <w:rsid w:val="00F80DC8"/>
    <w:rsid w:val="00F81249"/>
    <w:rsid w:val="00F81461"/>
    <w:rsid w:val="00F814F8"/>
    <w:rsid w:val="00F81BCD"/>
    <w:rsid w:val="00F81DB1"/>
    <w:rsid w:val="00F81EFB"/>
    <w:rsid w:val="00F81F28"/>
    <w:rsid w:val="00F81F2C"/>
    <w:rsid w:val="00F81FF0"/>
    <w:rsid w:val="00F825E7"/>
    <w:rsid w:val="00F83291"/>
    <w:rsid w:val="00F8332D"/>
    <w:rsid w:val="00F835A3"/>
    <w:rsid w:val="00F835BA"/>
    <w:rsid w:val="00F836D2"/>
    <w:rsid w:val="00F83F36"/>
    <w:rsid w:val="00F842B2"/>
    <w:rsid w:val="00F84515"/>
    <w:rsid w:val="00F846A7"/>
    <w:rsid w:val="00F847D7"/>
    <w:rsid w:val="00F8484B"/>
    <w:rsid w:val="00F8488C"/>
    <w:rsid w:val="00F8495A"/>
    <w:rsid w:val="00F84A4A"/>
    <w:rsid w:val="00F84C16"/>
    <w:rsid w:val="00F84C82"/>
    <w:rsid w:val="00F84EC7"/>
    <w:rsid w:val="00F84F22"/>
    <w:rsid w:val="00F85257"/>
    <w:rsid w:val="00F852C8"/>
    <w:rsid w:val="00F85AD6"/>
    <w:rsid w:val="00F85E94"/>
    <w:rsid w:val="00F86173"/>
    <w:rsid w:val="00F8646D"/>
    <w:rsid w:val="00F86B25"/>
    <w:rsid w:val="00F86BD7"/>
    <w:rsid w:val="00F86F9D"/>
    <w:rsid w:val="00F87428"/>
    <w:rsid w:val="00F8761F"/>
    <w:rsid w:val="00F8762B"/>
    <w:rsid w:val="00F87ABD"/>
    <w:rsid w:val="00F87B55"/>
    <w:rsid w:val="00F905A7"/>
    <w:rsid w:val="00F9080E"/>
    <w:rsid w:val="00F9086C"/>
    <w:rsid w:val="00F90B8F"/>
    <w:rsid w:val="00F90C57"/>
    <w:rsid w:val="00F910D6"/>
    <w:rsid w:val="00F91324"/>
    <w:rsid w:val="00F91750"/>
    <w:rsid w:val="00F917E9"/>
    <w:rsid w:val="00F918E1"/>
    <w:rsid w:val="00F91A02"/>
    <w:rsid w:val="00F91B2D"/>
    <w:rsid w:val="00F91C04"/>
    <w:rsid w:val="00F91C72"/>
    <w:rsid w:val="00F91E23"/>
    <w:rsid w:val="00F92001"/>
    <w:rsid w:val="00F92168"/>
    <w:rsid w:val="00F92488"/>
    <w:rsid w:val="00F9270B"/>
    <w:rsid w:val="00F92821"/>
    <w:rsid w:val="00F9285D"/>
    <w:rsid w:val="00F928A0"/>
    <w:rsid w:val="00F92B21"/>
    <w:rsid w:val="00F932B3"/>
    <w:rsid w:val="00F93415"/>
    <w:rsid w:val="00F936AD"/>
    <w:rsid w:val="00F9380E"/>
    <w:rsid w:val="00F9385E"/>
    <w:rsid w:val="00F93BB8"/>
    <w:rsid w:val="00F93DED"/>
    <w:rsid w:val="00F9447A"/>
    <w:rsid w:val="00F944C3"/>
    <w:rsid w:val="00F949BC"/>
    <w:rsid w:val="00F94C30"/>
    <w:rsid w:val="00F94DD2"/>
    <w:rsid w:val="00F95109"/>
    <w:rsid w:val="00F9535E"/>
    <w:rsid w:val="00F95555"/>
    <w:rsid w:val="00F95693"/>
    <w:rsid w:val="00F95952"/>
    <w:rsid w:val="00F95997"/>
    <w:rsid w:val="00F95A15"/>
    <w:rsid w:val="00F95AB6"/>
    <w:rsid w:val="00F95BD1"/>
    <w:rsid w:val="00F95BDF"/>
    <w:rsid w:val="00F95E31"/>
    <w:rsid w:val="00F9614F"/>
    <w:rsid w:val="00F96272"/>
    <w:rsid w:val="00F969FA"/>
    <w:rsid w:val="00F96E28"/>
    <w:rsid w:val="00F9745E"/>
    <w:rsid w:val="00F97542"/>
    <w:rsid w:val="00F975AA"/>
    <w:rsid w:val="00F97B27"/>
    <w:rsid w:val="00F97BF2"/>
    <w:rsid w:val="00F97C69"/>
    <w:rsid w:val="00F97CB4"/>
    <w:rsid w:val="00F97D65"/>
    <w:rsid w:val="00FA01DB"/>
    <w:rsid w:val="00FA01FC"/>
    <w:rsid w:val="00FA05C7"/>
    <w:rsid w:val="00FA0949"/>
    <w:rsid w:val="00FA0B4B"/>
    <w:rsid w:val="00FA12AA"/>
    <w:rsid w:val="00FA1415"/>
    <w:rsid w:val="00FA14FF"/>
    <w:rsid w:val="00FA15E5"/>
    <w:rsid w:val="00FA1623"/>
    <w:rsid w:val="00FA22C9"/>
    <w:rsid w:val="00FA28B6"/>
    <w:rsid w:val="00FA2989"/>
    <w:rsid w:val="00FA2CC6"/>
    <w:rsid w:val="00FA2DB6"/>
    <w:rsid w:val="00FA2E6C"/>
    <w:rsid w:val="00FA2FA9"/>
    <w:rsid w:val="00FA32CA"/>
    <w:rsid w:val="00FA3424"/>
    <w:rsid w:val="00FA34FE"/>
    <w:rsid w:val="00FA3A5F"/>
    <w:rsid w:val="00FA3B5F"/>
    <w:rsid w:val="00FA3B82"/>
    <w:rsid w:val="00FA3F91"/>
    <w:rsid w:val="00FA3F96"/>
    <w:rsid w:val="00FA4038"/>
    <w:rsid w:val="00FA44A6"/>
    <w:rsid w:val="00FA44BE"/>
    <w:rsid w:val="00FA44CA"/>
    <w:rsid w:val="00FA44FE"/>
    <w:rsid w:val="00FA4595"/>
    <w:rsid w:val="00FA45E9"/>
    <w:rsid w:val="00FA466E"/>
    <w:rsid w:val="00FA4982"/>
    <w:rsid w:val="00FA4FDA"/>
    <w:rsid w:val="00FA54F4"/>
    <w:rsid w:val="00FA5B6D"/>
    <w:rsid w:val="00FA62F9"/>
    <w:rsid w:val="00FA6379"/>
    <w:rsid w:val="00FA63A3"/>
    <w:rsid w:val="00FA6B6C"/>
    <w:rsid w:val="00FA6F8F"/>
    <w:rsid w:val="00FA6FC6"/>
    <w:rsid w:val="00FA7248"/>
    <w:rsid w:val="00FA7746"/>
    <w:rsid w:val="00FA77EB"/>
    <w:rsid w:val="00FA7999"/>
    <w:rsid w:val="00FA7B52"/>
    <w:rsid w:val="00FA7EDE"/>
    <w:rsid w:val="00FA7F74"/>
    <w:rsid w:val="00FB0246"/>
    <w:rsid w:val="00FB0E44"/>
    <w:rsid w:val="00FB0FAF"/>
    <w:rsid w:val="00FB1567"/>
    <w:rsid w:val="00FB1846"/>
    <w:rsid w:val="00FB19E5"/>
    <w:rsid w:val="00FB1CDC"/>
    <w:rsid w:val="00FB1F2D"/>
    <w:rsid w:val="00FB1F46"/>
    <w:rsid w:val="00FB22E7"/>
    <w:rsid w:val="00FB245F"/>
    <w:rsid w:val="00FB25D5"/>
    <w:rsid w:val="00FB261F"/>
    <w:rsid w:val="00FB287E"/>
    <w:rsid w:val="00FB28F9"/>
    <w:rsid w:val="00FB2984"/>
    <w:rsid w:val="00FB2A2E"/>
    <w:rsid w:val="00FB2A9E"/>
    <w:rsid w:val="00FB2C91"/>
    <w:rsid w:val="00FB3112"/>
    <w:rsid w:val="00FB35AF"/>
    <w:rsid w:val="00FB36DC"/>
    <w:rsid w:val="00FB378B"/>
    <w:rsid w:val="00FB407F"/>
    <w:rsid w:val="00FB4088"/>
    <w:rsid w:val="00FB40E9"/>
    <w:rsid w:val="00FB4346"/>
    <w:rsid w:val="00FB4546"/>
    <w:rsid w:val="00FB47E7"/>
    <w:rsid w:val="00FB4917"/>
    <w:rsid w:val="00FB4AF2"/>
    <w:rsid w:val="00FB4CB9"/>
    <w:rsid w:val="00FB4CC0"/>
    <w:rsid w:val="00FB4E67"/>
    <w:rsid w:val="00FB50DD"/>
    <w:rsid w:val="00FB520C"/>
    <w:rsid w:val="00FB5269"/>
    <w:rsid w:val="00FB52EC"/>
    <w:rsid w:val="00FB53D6"/>
    <w:rsid w:val="00FB5561"/>
    <w:rsid w:val="00FB5D5E"/>
    <w:rsid w:val="00FB63A5"/>
    <w:rsid w:val="00FB63C4"/>
    <w:rsid w:val="00FB6425"/>
    <w:rsid w:val="00FB65A1"/>
    <w:rsid w:val="00FB7442"/>
    <w:rsid w:val="00FB744C"/>
    <w:rsid w:val="00FB7665"/>
    <w:rsid w:val="00FB7695"/>
    <w:rsid w:val="00FB7A7C"/>
    <w:rsid w:val="00FB7B3E"/>
    <w:rsid w:val="00FB7B76"/>
    <w:rsid w:val="00FB7C98"/>
    <w:rsid w:val="00FB7FDA"/>
    <w:rsid w:val="00FC0102"/>
    <w:rsid w:val="00FC05BD"/>
    <w:rsid w:val="00FC0AA5"/>
    <w:rsid w:val="00FC0C73"/>
    <w:rsid w:val="00FC0C8C"/>
    <w:rsid w:val="00FC12E7"/>
    <w:rsid w:val="00FC1CB1"/>
    <w:rsid w:val="00FC1F1C"/>
    <w:rsid w:val="00FC1F62"/>
    <w:rsid w:val="00FC2457"/>
    <w:rsid w:val="00FC2A73"/>
    <w:rsid w:val="00FC303B"/>
    <w:rsid w:val="00FC319F"/>
    <w:rsid w:val="00FC33B8"/>
    <w:rsid w:val="00FC3685"/>
    <w:rsid w:val="00FC37E5"/>
    <w:rsid w:val="00FC3956"/>
    <w:rsid w:val="00FC3B9D"/>
    <w:rsid w:val="00FC3C5D"/>
    <w:rsid w:val="00FC3E9A"/>
    <w:rsid w:val="00FC427B"/>
    <w:rsid w:val="00FC42D8"/>
    <w:rsid w:val="00FC44EE"/>
    <w:rsid w:val="00FC4562"/>
    <w:rsid w:val="00FC468C"/>
    <w:rsid w:val="00FC4885"/>
    <w:rsid w:val="00FC49F6"/>
    <w:rsid w:val="00FC4C8C"/>
    <w:rsid w:val="00FC4D9F"/>
    <w:rsid w:val="00FC4DB9"/>
    <w:rsid w:val="00FC4F4D"/>
    <w:rsid w:val="00FC5161"/>
    <w:rsid w:val="00FC528F"/>
    <w:rsid w:val="00FC542B"/>
    <w:rsid w:val="00FC61E9"/>
    <w:rsid w:val="00FC6215"/>
    <w:rsid w:val="00FC672E"/>
    <w:rsid w:val="00FC6B0D"/>
    <w:rsid w:val="00FC6F00"/>
    <w:rsid w:val="00FC6FDD"/>
    <w:rsid w:val="00FC7311"/>
    <w:rsid w:val="00FC774A"/>
    <w:rsid w:val="00FC78AE"/>
    <w:rsid w:val="00FC79A0"/>
    <w:rsid w:val="00FC7C6A"/>
    <w:rsid w:val="00FC7D42"/>
    <w:rsid w:val="00FC7F8B"/>
    <w:rsid w:val="00FD04D9"/>
    <w:rsid w:val="00FD06C3"/>
    <w:rsid w:val="00FD071B"/>
    <w:rsid w:val="00FD091A"/>
    <w:rsid w:val="00FD0A48"/>
    <w:rsid w:val="00FD0B6E"/>
    <w:rsid w:val="00FD0C2F"/>
    <w:rsid w:val="00FD0C95"/>
    <w:rsid w:val="00FD0D67"/>
    <w:rsid w:val="00FD0F47"/>
    <w:rsid w:val="00FD1003"/>
    <w:rsid w:val="00FD17C2"/>
    <w:rsid w:val="00FD1921"/>
    <w:rsid w:val="00FD1A2D"/>
    <w:rsid w:val="00FD1C41"/>
    <w:rsid w:val="00FD233C"/>
    <w:rsid w:val="00FD27CF"/>
    <w:rsid w:val="00FD28E6"/>
    <w:rsid w:val="00FD296E"/>
    <w:rsid w:val="00FD2A08"/>
    <w:rsid w:val="00FD2A0E"/>
    <w:rsid w:val="00FD2A74"/>
    <w:rsid w:val="00FD2B24"/>
    <w:rsid w:val="00FD2BBC"/>
    <w:rsid w:val="00FD2C7C"/>
    <w:rsid w:val="00FD32C7"/>
    <w:rsid w:val="00FD33B4"/>
    <w:rsid w:val="00FD348F"/>
    <w:rsid w:val="00FD34B6"/>
    <w:rsid w:val="00FD3A7D"/>
    <w:rsid w:val="00FD3AFF"/>
    <w:rsid w:val="00FD3D21"/>
    <w:rsid w:val="00FD42E4"/>
    <w:rsid w:val="00FD433C"/>
    <w:rsid w:val="00FD4449"/>
    <w:rsid w:val="00FD4589"/>
    <w:rsid w:val="00FD4756"/>
    <w:rsid w:val="00FD4A0A"/>
    <w:rsid w:val="00FD4A1D"/>
    <w:rsid w:val="00FD4BDF"/>
    <w:rsid w:val="00FD5096"/>
    <w:rsid w:val="00FD51AD"/>
    <w:rsid w:val="00FD5277"/>
    <w:rsid w:val="00FD5896"/>
    <w:rsid w:val="00FD5BAD"/>
    <w:rsid w:val="00FD5C42"/>
    <w:rsid w:val="00FD5CB3"/>
    <w:rsid w:val="00FD5D6A"/>
    <w:rsid w:val="00FD6252"/>
    <w:rsid w:val="00FD6254"/>
    <w:rsid w:val="00FD63E2"/>
    <w:rsid w:val="00FD64B2"/>
    <w:rsid w:val="00FD678E"/>
    <w:rsid w:val="00FD6B41"/>
    <w:rsid w:val="00FD6C10"/>
    <w:rsid w:val="00FD70C7"/>
    <w:rsid w:val="00FD7525"/>
    <w:rsid w:val="00FD76CF"/>
    <w:rsid w:val="00FD77CA"/>
    <w:rsid w:val="00FD79C1"/>
    <w:rsid w:val="00FD7A77"/>
    <w:rsid w:val="00FD7B21"/>
    <w:rsid w:val="00FE00EA"/>
    <w:rsid w:val="00FE013F"/>
    <w:rsid w:val="00FE0299"/>
    <w:rsid w:val="00FE03ED"/>
    <w:rsid w:val="00FE04A4"/>
    <w:rsid w:val="00FE05FE"/>
    <w:rsid w:val="00FE0DC0"/>
    <w:rsid w:val="00FE0EDD"/>
    <w:rsid w:val="00FE0F55"/>
    <w:rsid w:val="00FE0FAB"/>
    <w:rsid w:val="00FE103D"/>
    <w:rsid w:val="00FE1519"/>
    <w:rsid w:val="00FE1F52"/>
    <w:rsid w:val="00FE21E7"/>
    <w:rsid w:val="00FE22E9"/>
    <w:rsid w:val="00FE2571"/>
    <w:rsid w:val="00FE2711"/>
    <w:rsid w:val="00FE29D3"/>
    <w:rsid w:val="00FE2C51"/>
    <w:rsid w:val="00FE2CDB"/>
    <w:rsid w:val="00FE2D1A"/>
    <w:rsid w:val="00FE2DCB"/>
    <w:rsid w:val="00FE2DEE"/>
    <w:rsid w:val="00FE2EF0"/>
    <w:rsid w:val="00FE2EF1"/>
    <w:rsid w:val="00FE3052"/>
    <w:rsid w:val="00FE30B7"/>
    <w:rsid w:val="00FE30CB"/>
    <w:rsid w:val="00FE335C"/>
    <w:rsid w:val="00FE3366"/>
    <w:rsid w:val="00FE3A61"/>
    <w:rsid w:val="00FE3AA4"/>
    <w:rsid w:val="00FE3E41"/>
    <w:rsid w:val="00FE4054"/>
    <w:rsid w:val="00FE427E"/>
    <w:rsid w:val="00FE437B"/>
    <w:rsid w:val="00FE45D3"/>
    <w:rsid w:val="00FE4AF4"/>
    <w:rsid w:val="00FE4BE7"/>
    <w:rsid w:val="00FE4C8B"/>
    <w:rsid w:val="00FE4E25"/>
    <w:rsid w:val="00FE4F50"/>
    <w:rsid w:val="00FE4F5E"/>
    <w:rsid w:val="00FE4F68"/>
    <w:rsid w:val="00FE4FB9"/>
    <w:rsid w:val="00FE555F"/>
    <w:rsid w:val="00FE5586"/>
    <w:rsid w:val="00FE593F"/>
    <w:rsid w:val="00FE5BFB"/>
    <w:rsid w:val="00FE5C22"/>
    <w:rsid w:val="00FE6426"/>
    <w:rsid w:val="00FE6647"/>
    <w:rsid w:val="00FE6836"/>
    <w:rsid w:val="00FE6B0E"/>
    <w:rsid w:val="00FE6CD4"/>
    <w:rsid w:val="00FE6F71"/>
    <w:rsid w:val="00FE6FBA"/>
    <w:rsid w:val="00FE70A1"/>
    <w:rsid w:val="00FE7AA0"/>
    <w:rsid w:val="00FE7F3B"/>
    <w:rsid w:val="00FF0268"/>
    <w:rsid w:val="00FF0AC2"/>
    <w:rsid w:val="00FF0BD2"/>
    <w:rsid w:val="00FF0BFF"/>
    <w:rsid w:val="00FF0DD6"/>
    <w:rsid w:val="00FF1969"/>
    <w:rsid w:val="00FF19A9"/>
    <w:rsid w:val="00FF1ADC"/>
    <w:rsid w:val="00FF1C5C"/>
    <w:rsid w:val="00FF25C0"/>
    <w:rsid w:val="00FF2615"/>
    <w:rsid w:val="00FF2985"/>
    <w:rsid w:val="00FF2AF1"/>
    <w:rsid w:val="00FF2BB1"/>
    <w:rsid w:val="00FF2C81"/>
    <w:rsid w:val="00FF30A1"/>
    <w:rsid w:val="00FF32F5"/>
    <w:rsid w:val="00FF3842"/>
    <w:rsid w:val="00FF3BE2"/>
    <w:rsid w:val="00FF41AE"/>
    <w:rsid w:val="00FF4232"/>
    <w:rsid w:val="00FF424C"/>
    <w:rsid w:val="00FF439D"/>
    <w:rsid w:val="00FF449E"/>
    <w:rsid w:val="00FF467E"/>
    <w:rsid w:val="00FF46EC"/>
    <w:rsid w:val="00FF487F"/>
    <w:rsid w:val="00FF4EEB"/>
    <w:rsid w:val="00FF4F6D"/>
    <w:rsid w:val="00FF5400"/>
    <w:rsid w:val="00FF5558"/>
    <w:rsid w:val="00FF576C"/>
    <w:rsid w:val="00FF5894"/>
    <w:rsid w:val="00FF5EB6"/>
    <w:rsid w:val="00FF62D0"/>
    <w:rsid w:val="00FF638F"/>
    <w:rsid w:val="00FF67F6"/>
    <w:rsid w:val="00FF6D15"/>
    <w:rsid w:val="00FF6E94"/>
    <w:rsid w:val="00FF6ECC"/>
    <w:rsid w:val="00FF7226"/>
    <w:rsid w:val="00FF72BF"/>
    <w:rsid w:val="00FF7C83"/>
    <w:rsid w:val="0C491615"/>
    <w:rsid w:val="0F357539"/>
    <w:rsid w:val="42C478F7"/>
    <w:rsid w:val="5BEB209A"/>
    <w:rsid w:val="5D105D9D"/>
    <w:rsid w:val="61E75081"/>
    <w:rsid w:val="7EAD060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numPr>
        <w:ilvl w:val="2"/>
      </w:numPr>
      <w:spacing w:before="120"/>
      <w:outlineLvl w:val="2"/>
    </w:pPr>
    <w:rPr>
      <w:i w:val="0"/>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iCs/>
      <w:sz w:val="26"/>
      <w:szCs w:val="26"/>
    </w:rPr>
  </w:style>
  <w:style w:type="paragraph" w:styleId="7">
    <w:name w:val="heading 6"/>
    <w:basedOn w:val="8"/>
    <w:next w:val="1"/>
    <w:link w:val="64"/>
    <w:qFormat/>
    <w:uiPriority w:val="99"/>
    <w:pPr>
      <w:numPr>
        <w:ilvl w:val="5"/>
      </w:numPr>
      <w:outlineLvl w:val="5"/>
    </w:pPr>
    <w:rPr>
      <w:i w:val="0"/>
      <w:iCs w:val="0"/>
      <w:szCs w:val="20"/>
    </w:rPr>
  </w:style>
  <w:style w:type="paragraph" w:styleId="9">
    <w:name w:val="heading 7"/>
    <w:basedOn w:val="8"/>
    <w:next w:val="1"/>
    <w:link w:val="65"/>
    <w:qFormat/>
    <w:uiPriority w:val="99"/>
    <w:pPr>
      <w:numPr>
        <w:ilvl w:val="6"/>
      </w:numPr>
      <w:outlineLvl w:val="6"/>
    </w:pPr>
    <w:rPr>
      <w:b w:val="0"/>
      <w:bCs w:val="0"/>
      <w:i w:val="0"/>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99"/>
    <w:pPr>
      <w:numPr>
        <w:ilvl w:val="0"/>
        <w:numId w:val="5"/>
      </w:numPr>
      <w:snapToGrid w:val="0"/>
      <w:spacing w:after="60"/>
      <w:jc w:val="both"/>
    </w:pPr>
    <w:rPr>
      <w:szCs w:val="16"/>
      <w:lang w:val="en-US" w:eastAsia="en-US"/>
    </w:rPr>
  </w:style>
  <w:style w:type="character" w:customStyle="1" w:styleId="146">
    <w:name w:val="标题 字符"/>
    <w:basedOn w:val="53"/>
    <w:link w:val="47"/>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0"/>
    <w:pPr>
      <w:numPr>
        <w:ilvl w:val="0"/>
        <w:numId w:val="6"/>
      </w:numPr>
      <w:tabs>
        <w:tab w:val="left" w:pos="1619"/>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character" w:customStyle="1" w:styleId="157">
    <w:name w:val="未处理的提及1"/>
    <w:basedOn w:val="53"/>
    <w:semiHidden/>
    <w:unhideWhenUsed/>
    <w:qFormat/>
    <w:uiPriority w:val="99"/>
    <w:rPr>
      <w:color w:val="605E5C"/>
      <w:shd w:val="clear" w:color="auto" w:fill="E1DFDD"/>
    </w:rPr>
  </w:style>
  <w:style w:type="character" w:styleId="158">
    <w:name w:val="Placeholder Text"/>
    <w:basedOn w:val="53"/>
    <w:semiHidden/>
    <w:qFormat/>
    <w:uiPriority w:val="67"/>
    <w:rPr>
      <w:color w:val="808080"/>
    </w:rPr>
  </w:style>
  <w:style w:type="paragraph" w:customStyle="1" w:styleId="159">
    <w:name w:val="Revision"/>
    <w:hidden/>
    <w:semiHidden/>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9" Type="http://schemas.openxmlformats.org/officeDocument/2006/relationships/fontTable" Target="fontTable.xml"/><Relationship Id="rId38" Type="http://schemas.openxmlformats.org/officeDocument/2006/relationships/customXml" Target="../customXml/item1.xml"/><Relationship Id="rId37" Type="http://schemas.openxmlformats.org/officeDocument/2006/relationships/numbering" Target="numbering.xml"/><Relationship Id="rId36" Type="http://schemas.openxmlformats.org/officeDocument/2006/relationships/image" Target="media/image19.emf"/><Relationship Id="rId35" Type="http://schemas.openxmlformats.org/officeDocument/2006/relationships/package" Target="embeddings/Microsoft_Visio___12.vsdx"/><Relationship Id="rId34" Type="http://schemas.openxmlformats.org/officeDocument/2006/relationships/image" Target="media/image18.emf"/><Relationship Id="rId33" Type="http://schemas.openxmlformats.org/officeDocument/2006/relationships/package" Target="embeddings/Microsoft_Visio___11.vsdx"/><Relationship Id="rId32" Type="http://schemas.openxmlformats.org/officeDocument/2006/relationships/image" Target="media/image17.emf"/><Relationship Id="rId31" Type="http://schemas.openxmlformats.org/officeDocument/2006/relationships/package" Target="embeddings/Microsoft_Visio___10.vsdx"/><Relationship Id="rId30" Type="http://schemas.openxmlformats.org/officeDocument/2006/relationships/image" Target="media/image16.emf"/><Relationship Id="rId3" Type="http://schemas.openxmlformats.org/officeDocument/2006/relationships/footnotes" Target="footnotes.xml"/><Relationship Id="rId29" Type="http://schemas.openxmlformats.org/officeDocument/2006/relationships/package" Target="embeddings/Microsoft_Visio___9.vsdx"/><Relationship Id="rId28" Type="http://schemas.openxmlformats.org/officeDocument/2006/relationships/image" Target="media/image15.emf"/><Relationship Id="rId27" Type="http://schemas.openxmlformats.org/officeDocument/2006/relationships/package" Target="embeddings/Microsoft_Visio___8.vsdx"/><Relationship Id="rId26" Type="http://schemas.openxmlformats.org/officeDocument/2006/relationships/image" Target="media/image14.emf"/><Relationship Id="rId25" Type="http://schemas.openxmlformats.org/officeDocument/2006/relationships/package" Target="embeddings/Microsoft_Visio___7.vsdx"/><Relationship Id="rId24" Type="http://schemas.openxmlformats.org/officeDocument/2006/relationships/image" Target="media/image13.emf"/><Relationship Id="rId23" Type="http://schemas.openxmlformats.org/officeDocument/2006/relationships/package" Target="embeddings/Microsoft_Visio___6.vsdx"/><Relationship Id="rId22" Type="http://schemas.openxmlformats.org/officeDocument/2006/relationships/image" Target="media/image12.emf"/><Relationship Id="rId21" Type="http://schemas.openxmlformats.org/officeDocument/2006/relationships/package" Target="embeddings/Microsoft_Visio___5.vsdx"/><Relationship Id="rId20" Type="http://schemas.openxmlformats.org/officeDocument/2006/relationships/image" Target="media/image11.emf"/><Relationship Id="rId2" Type="http://schemas.openxmlformats.org/officeDocument/2006/relationships/settings" Target="settings.xml"/><Relationship Id="rId19" Type="http://schemas.openxmlformats.org/officeDocument/2006/relationships/package" Target="embeddings/Microsoft_Visio___4.vsdx"/><Relationship Id="rId18" Type="http://schemas.openxmlformats.org/officeDocument/2006/relationships/image" Target="media/image10.emf"/><Relationship Id="rId17" Type="http://schemas.openxmlformats.org/officeDocument/2006/relationships/package" Target="embeddings/Microsoft_Visio___3.vsdx"/><Relationship Id="rId16" Type="http://schemas.openxmlformats.org/officeDocument/2006/relationships/image" Target="media/image9.emf"/><Relationship Id="rId15" Type="http://schemas.openxmlformats.org/officeDocument/2006/relationships/package" Target="embeddings/Microsoft_Visio___2.vsdx"/><Relationship Id="rId14" Type="http://schemas.openxmlformats.org/officeDocument/2006/relationships/image" Target="media/image8.emf"/><Relationship Id="rId13" Type="http://schemas.openxmlformats.org/officeDocument/2006/relationships/package" Target="embeddings/Microsoft_Visio___1.vsdx"/><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DF756-540A-4AF6-B6AD-95A353B6E381}">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17</Pages>
  <Words>7859</Words>
  <Characters>44798</Characters>
  <Lines>373</Lines>
  <Paragraphs>105</Paragraphs>
  <TotalTime>206</TotalTime>
  <ScaleCrop>false</ScaleCrop>
  <LinksUpToDate>false</LinksUpToDate>
  <CharactersWithSpaces>52552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2019-08-16T08:26:00Z</dcterms:created>
  <dc:creator>CMCC</dc:creator>
  <cp:lastModifiedBy>李燕</cp:lastModifiedBy>
  <cp:lastPrinted>2013-04-02T02:18:00Z</cp:lastPrinted>
  <dcterms:modified xsi:type="dcterms:W3CDTF">2023-02-17T12:55:35Z</dcterms:modified>
  <cp:revision>174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2052-11.8.2.11716</vt:lpwstr>
  </property>
  <property fmtid="{D5CDD505-2E9C-101B-9397-08002B2CF9AE}" pid="4" name="ICV">
    <vt:lpwstr>B347159C43EA44C8A85C53FA130D1F8E</vt:lpwstr>
  </property>
</Properties>
</file>